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7BB9F" w14:textId="77777777" w:rsidR="00BF6D7D" w:rsidRDefault="00BF6D7D" w:rsidP="00BF6D7D">
      <w:pPr>
        <w:pStyle w:val="NormalnyWeb"/>
        <w:spacing w:before="0" w:beforeAutospacing="0" w:after="0" w:afterAutospacing="0"/>
        <w:jc w:val="both"/>
      </w:pPr>
      <w:r>
        <w:rPr>
          <w:b/>
          <w:bCs/>
          <w:color w:val="000000"/>
        </w:rPr>
        <w:t>Dr Tomasz Drab</w:t>
      </w:r>
    </w:p>
    <w:p w14:paraId="5FE5A152" w14:textId="1888D97A" w:rsidR="00BF6D7D" w:rsidRDefault="00BF6D7D" w:rsidP="00BF6D7D">
      <w:pPr>
        <w:pStyle w:val="NormalnyWeb"/>
        <w:spacing w:before="0" w:beforeAutospacing="0" w:after="0" w:afterAutospacing="0"/>
        <w:jc w:val="both"/>
        <w:rPr>
          <w:b/>
          <w:bCs/>
          <w:color w:val="000000"/>
        </w:rPr>
      </w:pPr>
      <w:r>
        <w:rPr>
          <w:b/>
          <w:bCs/>
          <w:color w:val="000000"/>
        </w:rPr>
        <w:t>ORCID: 0000-0002-3207-4931</w:t>
      </w:r>
    </w:p>
    <w:p w14:paraId="09C2841C" w14:textId="0652E9E9" w:rsidR="00BF6D7D" w:rsidRDefault="00BF6D7D" w:rsidP="00BF6D7D">
      <w:pPr>
        <w:pStyle w:val="NormalnyWeb"/>
        <w:spacing w:before="0" w:beforeAutospacing="0" w:after="0" w:afterAutospacing="0"/>
        <w:jc w:val="both"/>
      </w:pPr>
      <w:r w:rsidRPr="00BF6D7D">
        <w:rPr>
          <w:b/>
          <w:bCs/>
        </w:rPr>
        <w:t>Uniwersytet Marii Curie-Skłodowskiej w Lublinie</w:t>
      </w:r>
    </w:p>
    <w:p w14:paraId="5F8F1EDA" w14:textId="35D2ECD4" w:rsidR="00BF6D7D" w:rsidRDefault="00BF6D7D" w:rsidP="0066095C">
      <w:pPr>
        <w:spacing w:after="0" w:line="360" w:lineRule="auto"/>
        <w:jc w:val="both"/>
        <w:rPr>
          <w:rFonts w:ascii="Times New Roman" w:hAnsi="Times New Roman" w:cs="Times New Roman"/>
          <w:b/>
          <w:bCs/>
        </w:rPr>
      </w:pPr>
      <w:r w:rsidRPr="00BF6D7D">
        <w:rPr>
          <w:rFonts w:ascii="Times New Roman" w:hAnsi="Times New Roman" w:cs="Times New Roman"/>
          <w:b/>
          <w:bCs/>
        </w:rPr>
        <w:t>tomasz.drab@mail.umcs.pl</w:t>
      </w:r>
    </w:p>
    <w:p w14:paraId="3EA01EAC" w14:textId="77777777" w:rsidR="00BF6D7D" w:rsidRDefault="00BF6D7D" w:rsidP="0066095C">
      <w:pPr>
        <w:spacing w:after="0" w:line="360" w:lineRule="auto"/>
        <w:jc w:val="both"/>
        <w:rPr>
          <w:rFonts w:ascii="Times New Roman" w:hAnsi="Times New Roman" w:cs="Times New Roman"/>
          <w:b/>
          <w:bCs/>
        </w:rPr>
      </w:pPr>
    </w:p>
    <w:p w14:paraId="2AB01563" w14:textId="77B98F5D" w:rsidR="0066095C" w:rsidRDefault="0066095C" w:rsidP="0066095C">
      <w:pPr>
        <w:spacing w:after="0" w:line="360" w:lineRule="auto"/>
        <w:jc w:val="both"/>
        <w:rPr>
          <w:rFonts w:ascii="Times New Roman" w:hAnsi="Times New Roman" w:cs="Times New Roman"/>
          <w:b/>
          <w:bCs/>
        </w:rPr>
      </w:pPr>
      <w:r w:rsidRPr="00953F4F">
        <w:rPr>
          <w:rFonts w:ascii="Times New Roman" w:hAnsi="Times New Roman" w:cs="Times New Roman"/>
          <w:b/>
          <w:bCs/>
        </w:rPr>
        <w:t>Standard dowodu co do wykazania wiedzy o używaniu późniejszego znaku towarowego koniecznej do powołania się na przyzwolenie (tolerowanie) tego znaku – glosa do wyroku Sądu UE z dnia 6 listopada 2024 r., T</w:t>
      </w:r>
      <w:r w:rsidRPr="00953F4F">
        <w:rPr>
          <w:rFonts w:ascii="Times New Roman" w:hAnsi="Times New Roman" w:cs="Times New Roman"/>
          <w:b/>
          <w:bCs/>
        </w:rPr>
        <w:noBreakHyphen/>
        <w:t>136/23</w:t>
      </w:r>
    </w:p>
    <w:p w14:paraId="24BDE10B" w14:textId="236F248F" w:rsidR="00BF6D7D" w:rsidRDefault="00BF6D7D" w:rsidP="0066095C">
      <w:pPr>
        <w:spacing w:after="0" w:line="360" w:lineRule="auto"/>
        <w:jc w:val="both"/>
        <w:rPr>
          <w:rFonts w:ascii="Times New Roman" w:hAnsi="Times New Roman" w:cs="Times New Roman"/>
          <w:b/>
          <w:bCs/>
        </w:rPr>
      </w:pPr>
    </w:p>
    <w:p w14:paraId="48A14A52" w14:textId="77777777" w:rsidR="00BF6D7D" w:rsidRPr="00BF6D7D" w:rsidRDefault="00BF6D7D" w:rsidP="00BF6D7D">
      <w:pPr>
        <w:jc w:val="both"/>
        <w:rPr>
          <w:rFonts w:ascii="Times New Roman" w:hAnsi="Times New Roman" w:cs="Times New Roman"/>
          <w:b/>
          <w:lang w:val="en-US"/>
        </w:rPr>
      </w:pPr>
      <w:r w:rsidRPr="00BF6D7D">
        <w:rPr>
          <w:rFonts w:ascii="Times New Roman" w:hAnsi="Times New Roman" w:cs="Times New Roman"/>
          <w:b/>
          <w:lang w:val="en-US"/>
        </w:rPr>
        <w:t>Standard of proof for demonstrating knowledge of the use of a later trademark necessary to invoke acquiescence in the use of that trademark – commentary on the judgment of the General Court of the Europ</w:t>
      </w:r>
      <w:bookmarkStart w:id="0" w:name="_GoBack"/>
      <w:bookmarkEnd w:id="0"/>
      <w:r w:rsidRPr="00BF6D7D">
        <w:rPr>
          <w:rFonts w:ascii="Times New Roman" w:hAnsi="Times New Roman" w:cs="Times New Roman"/>
          <w:b/>
          <w:lang w:val="en-US"/>
        </w:rPr>
        <w:t>ean Union of 6 November 2024, T 136/23</w:t>
      </w:r>
    </w:p>
    <w:p w14:paraId="40314F75" w14:textId="77777777" w:rsidR="0066095C" w:rsidRPr="00953F4F" w:rsidRDefault="0066095C" w:rsidP="0066095C">
      <w:pPr>
        <w:spacing w:after="0" w:line="360" w:lineRule="auto"/>
        <w:jc w:val="both"/>
        <w:rPr>
          <w:rFonts w:ascii="Times New Roman" w:hAnsi="Times New Roman" w:cs="Times New Roman"/>
        </w:rPr>
      </w:pPr>
    </w:p>
    <w:p w14:paraId="3EC202D6" w14:textId="7486A947" w:rsidR="0066095C" w:rsidRDefault="0066095C" w:rsidP="0066095C">
      <w:pPr>
        <w:spacing w:after="0" w:line="360" w:lineRule="auto"/>
        <w:jc w:val="both"/>
        <w:rPr>
          <w:rFonts w:ascii="Times New Roman" w:hAnsi="Times New Roman" w:cs="Times New Roman"/>
        </w:rPr>
      </w:pPr>
      <w:r w:rsidRPr="00953F4F">
        <w:rPr>
          <w:rFonts w:ascii="Times New Roman" w:hAnsi="Times New Roman" w:cs="Times New Roman"/>
          <w:b/>
          <w:bCs/>
        </w:rPr>
        <w:t>Słowa kluczowe:</w:t>
      </w:r>
      <w:r w:rsidRPr="00953F4F">
        <w:rPr>
          <w:rFonts w:ascii="Times New Roman" w:hAnsi="Times New Roman" w:cs="Times New Roman"/>
        </w:rPr>
        <w:t xml:space="preserve"> przyzwolenie</w:t>
      </w:r>
      <w:r>
        <w:rPr>
          <w:rFonts w:ascii="Times New Roman" w:hAnsi="Times New Roman" w:cs="Times New Roman"/>
        </w:rPr>
        <w:t>;</w:t>
      </w:r>
      <w:r w:rsidRPr="00953F4F">
        <w:rPr>
          <w:rFonts w:ascii="Times New Roman" w:hAnsi="Times New Roman" w:cs="Times New Roman"/>
        </w:rPr>
        <w:t xml:space="preserve"> tolerowanie używania znaku towarowego</w:t>
      </w:r>
      <w:r>
        <w:rPr>
          <w:rFonts w:ascii="Times New Roman" w:hAnsi="Times New Roman" w:cs="Times New Roman"/>
        </w:rPr>
        <w:t>;</w:t>
      </w:r>
      <w:r w:rsidRPr="00953F4F">
        <w:rPr>
          <w:rFonts w:ascii="Times New Roman" w:hAnsi="Times New Roman" w:cs="Times New Roman"/>
        </w:rPr>
        <w:t xml:space="preserve"> przedawnienie</w:t>
      </w:r>
      <w:r>
        <w:rPr>
          <w:rFonts w:ascii="Times New Roman" w:hAnsi="Times New Roman" w:cs="Times New Roman"/>
        </w:rPr>
        <w:t>;</w:t>
      </w:r>
      <w:r w:rsidRPr="00953F4F">
        <w:rPr>
          <w:rFonts w:ascii="Times New Roman" w:hAnsi="Times New Roman" w:cs="Times New Roman"/>
        </w:rPr>
        <w:t xml:space="preserve"> znaki towarowe</w:t>
      </w:r>
    </w:p>
    <w:p w14:paraId="6D18FD3B" w14:textId="77777777" w:rsidR="00BF6D7D" w:rsidRPr="00953F4F" w:rsidRDefault="00BF6D7D" w:rsidP="0066095C">
      <w:pPr>
        <w:spacing w:after="0" w:line="360" w:lineRule="auto"/>
        <w:jc w:val="both"/>
        <w:rPr>
          <w:rFonts w:ascii="Times New Roman" w:hAnsi="Times New Roman" w:cs="Times New Roman"/>
        </w:rPr>
      </w:pPr>
    </w:p>
    <w:p w14:paraId="33F3A296" w14:textId="77777777" w:rsidR="0066095C" w:rsidRPr="00953F4F" w:rsidRDefault="0066095C" w:rsidP="0066095C">
      <w:pPr>
        <w:spacing w:after="0" w:line="360" w:lineRule="auto"/>
        <w:jc w:val="both"/>
        <w:rPr>
          <w:rFonts w:ascii="Times New Roman" w:hAnsi="Times New Roman" w:cs="Times New Roman"/>
          <w:lang w:val="en-US"/>
        </w:rPr>
      </w:pPr>
      <w:r w:rsidRPr="00953F4F">
        <w:rPr>
          <w:rFonts w:ascii="Times New Roman" w:hAnsi="Times New Roman" w:cs="Times New Roman"/>
          <w:b/>
          <w:bCs/>
          <w:lang w:val="en-US"/>
        </w:rPr>
        <w:t>Keywords:</w:t>
      </w:r>
      <w:r w:rsidRPr="00953F4F">
        <w:rPr>
          <w:rFonts w:ascii="Times New Roman" w:hAnsi="Times New Roman" w:cs="Times New Roman"/>
          <w:lang w:val="en-US"/>
        </w:rPr>
        <w:t xml:space="preserve"> acquiescence</w:t>
      </w:r>
      <w:r>
        <w:rPr>
          <w:rFonts w:ascii="Times New Roman" w:hAnsi="Times New Roman" w:cs="Times New Roman"/>
          <w:lang w:val="en-US"/>
        </w:rPr>
        <w:t>;</w:t>
      </w:r>
      <w:r w:rsidRPr="00953F4F">
        <w:rPr>
          <w:rFonts w:ascii="Times New Roman" w:hAnsi="Times New Roman" w:cs="Times New Roman"/>
          <w:lang w:val="en-US"/>
        </w:rPr>
        <w:t xml:space="preserve"> tolerating the use of a trademark</w:t>
      </w:r>
      <w:r>
        <w:rPr>
          <w:rFonts w:ascii="Times New Roman" w:hAnsi="Times New Roman" w:cs="Times New Roman"/>
          <w:lang w:val="en-US"/>
        </w:rPr>
        <w:t>;</w:t>
      </w:r>
      <w:r w:rsidRPr="00953F4F">
        <w:rPr>
          <w:rFonts w:ascii="Times New Roman" w:hAnsi="Times New Roman" w:cs="Times New Roman"/>
          <w:lang w:val="en-US"/>
        </w:rPr>
        <w:t xml:space="preserve"> limitation</w:t>
      </w:r>
      <w:r>
        <w:rPr>
          <w:rFonts w:ascii="Times New Roman" w:hAnsi="Times New Roman" w:cs="Times New Roman"/>
          <w:lang w:val="en-US"/>
        </w:rPr>
        <w:t>;</w:t>
      </w:r>
      <w:r w:rsidRPr="00953F4F">
        <w:rPr>
          <w:rFonts w:ascii="Times New Roman" w:hAnsi="Times New Roman" w:cs="Times New Roman"/>
          <w:lang w:val="en-US"/>
        </w:rPr>
        <w:t xml:space="preserve"> trademarks</w:t>
      </w:r>
    </w:p>
    <w:p w14:paraId="24B11BFA" w14:textId="77777777" w:rsidR="0066095C" w:rsidRPr="00953F4F" w:rsidRDefault="0066095C" w:rsidP="0066095C">
      <w:pPr>
        <w:spacing w:after="0" w:line="360" w:lineRule="auto"/>
        <w:jc w:val="both"/>
        <w:rPr>
          <w:rFonts w:ascii="Times New Roman" w:hAnsi="Times New Roman" w:cs="Times New Roman"/>
          <w:b/>
          <w:bCs/>
          <w:lang w:val="en-US"/>
        </w:rPr>
      </w:pPr>
    </w:p>
    <w:p w14:paraId="398B043C" w14:textId="77777777" w:rsidR="0066095C" w:rsidRPr="00953F4F" w:rsidRDefault="0066095C" w:rsidP="0066095C">
      <w:pPr>
        <w:spacing w:after="0" w:line="360" w:lineRule="auto"/>
        <w:jc w:val="both"/>
        <w:rPr>
          <w:rFonts w:ascii="Times New Roman" w:hAnsi="Times New Roman" w:cs="Times New Roman"/>
          <w:b/>
          <w:bCs/>
        </w:rPr>
      </w:pPr>
      <w:r w:rsidRPr="00953F4F">
        <w:rPr>
          <w:rFonts w:ascii="Times New Roman" w:hAnsi="Times New Roman" w:cs="Times New Roman"/>
          <w:b/>
          <w:bCs/>
        </w:rPr>
        <w:t>Streszczenie:</w:t>
      </w:r>
    </w:p>
    <w:p w14:paraId="252E5767" w14:textId="77777777" w:rsidR="0066095C" w:rsidRPr="00953F4F" w:rsidRDefault="0066095C" w:rsidP="0066095C">
      <w:pPr>
        <w:spacing w:after="0" w:line="360" w:lineRule="auto"/>
        <w:jc w:val="both"/>
        <w:rPr>
          <w:rFonts w:ascii="Times New Roman" w:hAnsi="Times New Roman" w:cs="Times New Roman"/>
        </w:rPr>
      </w:pPr>
      <w:bookmarkStart w:id="1" w:name="_Hlk207840469"/>
      <w:proofErr w:type="spellStart"/>
      <w:r w:rsidRPr="00953F4F">
        <w:rPr>
          <w:rFonts w:ascii="Times New Roman" w:hAnsi="Times New Roman" w:cs="Times New Roman"/>
        </w:rPr>
        <w:t>Glosowany</w:t>
      </w:r>
      <w:proofErr w:type="spellEnd"/>
      <w:r w:rsidRPr="00953F4F">
        <w:rPr>
          <w:rFonts w:ascii="Times New Roman" w:hAnsi="Times New Roman" w:cs="Times New Roman"/>
        </w:rPr>
        <w:t xml:space="preserve"> wyrok dotyczy istotnego praktycznie zagadnienia w postaci standardu dowodu co do wykazania wiedzy o używaniu późniejszego znaku towarowego przez właściciela wcześniejszego znaku towarowego, co jest jedną z przesłanek przyzwolenia (tolerowania), wyłączającego możliwość unieważnienia znaku późniejszego, a obecnie także zakazania jego używania. Wyrok ten ustanawia standard wysoko, potwierdzając, że domniemania i przypuszczenia w tym względzie są niedopuszczalne, tak jak powołanie się na powinność wiedzy o znaku późniejszym. Konkluzję tę należy zasadniczo zaaprobować, co jednak nie oznacza, że wnioskowanie wiedzy o używaniu znaku późniejszego z dowodów pośrednich jest niedopuszczalne. Taka możliwość istnieje, ale świadomość używania znaku późniejszego po stronie właściciela wcześniejszego znaku towarowego nie może budzić żadnych wątpliwości. Wymaga to podkreślenia, ponieważ niektóre poglądy wyrażane w literaturze przedmiotu wydają się w tym względzie być bardziej liberalne. Zdarzają się również orzeczenia, w których wiedzę o używaniu znaku późniejszego domniemywano lub zakładano, że właściciel wcześniejszego znaku towarowego musiał wiedzieć o tym używaniu. </w:t>
      </w:r>
    </w:p>
    <w:bookmarkEnd w:id="1"/>
    <w:p w14:paraId="7DDBC994" w14:textId="77777777" w:rsidR="0066095C" w:rsidRDefault="0066095C" w:rsidP="0066095C">
      <w:pPr>
        <w:spacing w:after="0" w:line="360" w:lineRule="auto"/>
        <w:jc w:val="both"/>
        <w:rPr>
          <w:rFonts w:ascii="Times New Roman" w:hAnsi="Times New Roman" w:cs="Times New Roman"/>
        </w:rPr>
      </w:pPr>
    </w:p>
    <w:p w14:paraId="22E1A5FC" w14:textId="0B6294D3" w:rsidR="002912D4" w:rsidRPr="002912D4" w:rsidRDefault="002912D4" w:rsidP="0066095C">
      <w:pPr>
        <w:spacing w:after="0" w:line="360" w:lineRule="auto"/>
        <w:jc w:val="both"/>
        <w:rPr>
          <w:rFonts w:ascii="Times New Roman" w:hAnsi="Times New Roman" w:cs="Times New Roman"/>
          <w:b/>
          <w:bCs/>
        </w:rPr>
      </w:pPr>
      <w:proofErr w:type="spellStart"/>
      <w:r w:rsidRPr="002912D4">
        <w:rPr>
          <w:rFonts w:ascii="Times New Roman" w:hAnsi="Times New Roman" w:cs="Times New Roman"/>
          <w:b/>
          <w:bCs/>
        </w:rPr>
        <w:t>Summary</w:t>
      </w:r>
      <w:proofErr w:type="spellEnd"/>
      <w:r w:rsidRPr="002912D4">
        <w:rPr>
          <w:rFonts w:ascii="Times New Roman" w:hAnsi="Times New Roman" w:cs="Times New Roman"/>
          <w:b/>
          <w:bCs/>
        </w:rPr>
        <w:t>:</w:t>
      </w:r>
    </w:p>
    <w:p w14:paraId="73D137B0" w14:textId="77777777" w:rsidR="0066095C" w:rsidRPr="00953F4F" w:rsidRDefault="0066095C" w:rsidP="0066095C">
      <w:pPr>
        <w:spacing w:after="0" w:line="360" w:lineRule="auto"/>
        <w:jc w:val="both"/>
        <w:rPr>
          <w:rFonts w:ascii="Times New Roman" w:hAnsi="Times New Roman" w:cs="Times New Roman"/>
          <w:lang w:val="en-US"/>
        </w:rPr>
      </w:pPr>
      <w:r w:rsidRPr="00953F4F">
        <w:rPr>
          <w:rFonts w:ascii="Times New Roman" w:hAnsi="Times New Roman" w:cs="Times New Roman"/>
          <w:lang w:val="en-US"/>
        </w:rPr>
        <w:lastRenderedPageBreak/>
        <w:t>The judgment concerns a practically important issue in the form of the standard of proof for demonstrating knowledge of the use of a later trademark by the owner of an earlier trademark, which is one of the prerequisites for acquiescence, which excludes the possibility of invalidating the later trademark and, currently, also prohibiting its use. The judgment sets a high threshold, confirming that presumptions and assumptions in this regard are inadmissible, as is reliance on the duty to know about the later mark. This conclusion should generally be approved, but this does not mean that inferring knowledge of the use of the later mark from circumstantial evidence is inadmissible. This possibility exists, but the awareness of the use of the later mark on the part of the owner of the earlier trademark must be beyond doubt. This needs to be emphasized because some views expressed in the relevant literature seem to be more liberal in this regard. There are also rulings in which knowledge of the use of the later mark was presumed or it was assumed that the owner of the earlier trademark must have known about such use.</w:t>
      </w:r>
    </w:p>
    <w:p w14:paraId="3C523DC5" w14:textId="77777777" w:rsidR="0066095C" w:rsidRPr="00953F4F" w:rsidRDefault="0066095C" w:rsidP="0066095C">
      <w:pPr>
        <w:spacing w:after="0" w:line="360" w:lineRule="auto"/>
        <w:jc w:val="both"/>
        <w:rPr>
          <w:rFonts w:ascii="Times New Roman" w:hAnsi="Times New Roman" w:cs="Times New Roman"/>
          <w:lang w:val="en-US"/>
        </w:rPr>
      </w:pPr>
    </w:p>
    <w:p w14:paraId="3A187885" w14:textId="77777777" w:rsidR="0066095C" w:rsidRPr="00953F4F" w:rsidRDefault="0066095C" w:rsidP="0066095C">
      <w:pPr>
        <w:spacing w:after="0" w:line="360" w:lineRule="auto"/>
        <w:rPr>
          <w:rFonts w:ascii="Times New Roman" w:hAnsi="Times New Roman" w:cs="Times New Roman"/>
          <w:lang w:val="en-US"/>
        </w:rPr>
      </w:pPr>
      <w:r w:rsidRPr="00953F4F">
        <w:rPr>
          <w:rFonts w:ascii="Times New Roman" w:hAnsi="Times New Roman" w:cs="Times New Roman"/>
          <w:lang w:val="en-US"/>
        </w:rPr>
        <w:br w:type="page"/>
      </w:r>
    </w:p>
    <w:p w14:paraId="57D46ADE" w14:textId="77777777" w:rsidR="0066095C" w:rsidRPr="00953F4F" w:rsidRDefault="0066095C" w:rsidP="0066095C">
      <w:pPr>
        <w:pStyle w:val="Akapitzlist"/>
        <w:numPr>
          <w:ilvl w:val="0"/>
          <w:numId w:val="1"/>
        </w:numPr>
        <w:spacing w:after="0" w:line="360" w:lineRule="auto"/>
        <w:ind w:left="567"/>
        <w:jc w:val="both"/>
        <w:rPr>
          <w:rFonts w:ascii="Times New Roman" w:hAnsi="Times New Roman" w:cs="Times New Roman"/>
          <w:b/>
          <w:bCs/>
        </w:rPr>
      </w:pPr>
      <w:bookmarkStart w:id="2" w:name="_Hlk207840437"/>
      <w:r w:rsidRPr="00953F4F">
        <w:rPr>
          <w:rFonts w:ascii="Times New Roman" w:hAnsi="Times New Roman" w:cs="Times New Roman"/>
          <w:b/>
          <w:bCs/>
        </w:rPr>
        <w:lastRenderedPageBreak/>
        <w:t>Stan faktyczny</w:t>
      </w:r>
    </w:p>
    <w:p w14:paraId="0B14BDB7"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 xml:space="preserve">Dnia 23 kwietnia 2007 r. spółka </w:t>
      </w:r>
      <w:proofErr w:type="spellStart"/>
      <w:r w:rsidRPr="00953F4F">
        <w:rPr>
          <w:rFonts w:ascii="Times New Roman" w:hAnsi="Times New Roman" w:cs="Times New Roman"/>
        </w:rPr>
        <w:t>Vintae</w:t>
      </w:r>
      <w:proofErr w:type="spellEnd"/>
      <w:r w:rsidRPr="00953F4F">
        <w:rPr>
          <w:rFonts w:ascii="Times New Roman" w:hAnsi="Times New Roman" w:cs="Times New Roman"/>
        </w:rPr>
        <w:t xml:space="preserve"> </w:t>
      </w:r>
      <w:proofErr w:type="spellStart"/>
      <w:r w:rsidRPr="00953F4F">
        <w:rPr>
          <w:rFonts w:ascii="Times New Roman" w:hAnsi="Times New Roman" w:cs="Times New Roman"/>
        </w:rPr>
        <w:t>Luxury</w:t>
      </w:r>
      <w:proofErr w:type="spellEnd"/>
      <w:r w:rsidRPr="00953F4F">
        <w:rPr>
          <w:rFonts w:ascii="Times New Roman" w:hAnsi="Times New Roman" w:cs="Times New Roman"/>
        </w:rPr>
        <w:t xml:space="preserve"> Wine </w:t>
      </w:r>
      <w:proofErr w:type="spellStart"/>
      <w:r w:rsidRPr="00953F4F">
        <w:rPr>
          <w:rFonts w:ascii="Times New Roman" w:hAnsi="Times New Roman" w:cs="Times New Roman"/>
        </w:rPr>
        <w:t>Specialists</w:t>
      </w:r>
      <w:proofErr w:type="spellEnd"/>
      <w:r w:rsidRPr="00953F4F">
        <w:rPr>
          <w:rFonts w:ascii="Times New Roman" w:hAnsi="Times New Roman" w:cs="Times New Roman"/>
        </w:rPr>
        <w:t xml:space="preserve"> SLU z siedzibą w </w:t>
      </w:r>
      <w:proofErr w:type="spellStart"/>
      <w:r w:rsidRPr="00953F4F">
        <w:rPr>
          <w:rFonts w:ascii="Times New Roman" w:hAnsi="Times New Roman" w:cs="Times New Roman"/>
        </w:rPr>
        <w:t>Logroño</w:t>
      </w:r>
      <w:proofErr w:type="spellEnd"/>
      <w:r w:rsidRPr="00953F4F">
        <w:rPr>
          <w:rFonts w:ascii="Times New Roman" w:hAnsi="Times New Roman" w:cs="Times New Roman"/>
        </w:rPr>
        <w:t>, Hiszpania (dalej jako: „</w:t>
      </w:r>
      <w:proofErr w:type="spellStart"/>
      <w:r w:rsidRPr="00953F4F">
        <w:rPr>
          <w:rFonts w:ascii="Times New Roman" w:hAnsi="Times New Roman" w:cs="Times New Roman"/>
        </w:rPr>
        <w:t>Vintae</w:t>
      </w:r>
      <w:proofErr w:type="spellEnd"/>
      <w:r w:rsidRPr="00953F4F">
        <w:rPr>
          <w:rFonts w:ascii="Times New Roman" w:hAnsi="Times New Roman" w:cs="Times New Roman"/>
        </w:rPr>
        <w:t xml:space="preserve"> </w:t>
      </w:r>
      <w:proofErr w:type="spellStart"/>
      <w:r w:rsidRPr="00953F4F">
        <w:rPr>
          <w:rFonts w:ascii="Times New Roman" w:hAnsi="Times New Roman" w:cs="Times New Roman"/>
        </w:rPr>
        <w:t>Luxury</w:t>
      </w:r>
      <w:proofErr w:type="spellEnd"/>
      <w:r w:rsidRPr="00953F4F">
        <w:rPr>
          <w:rFonts w:ascii="Times New Roman" w:hAnsi="Times New Roman" w:cs="Times New Roman"/>
        </w:rPr>
        <w:t>”) złożyła wniosek o rejestrację graficznego unijnego znaku towarowego nr 005851092 w postaci napisu „</w:t>
      </w:r>
      <w:proofErr w:type="spellStart"/>
      <w:r w:rsidRPr="00953F4F">
        <w:rPr>
          <w:rFonts w:ascii="Times New Roman" w:hAnsi="Times New Roman" w:cs="Times New Roman"/>
        </w:rPr>
        <w:t>vintae</w:t>
      </w:r>
      <w:proofErr w:type="spellEnd"/>
      <w:r w:rsidRPr="00953F4F">
        <w:rPr>
          <w:rFonts w:ascii="Times New Roman" w:hAnsi="Times New Roman" w:cs="Times New Roman"/>
        </w:rPr>
        <w:t xml:space="preserve">” na brązowym tle, między innymi dla „napojów alkoholowych (z wyjątkiem piwa)” w klasie 33 klasyfikacji nicejskiej oraz usług „handlu detalicznego i hurtowego napojami alkoholowymi” w klasie 35 klasyfikacji nicejskiej. Znak został zarejestrowany 7 kwietnia 2008 r. </w:t>
      </w:r>
    </w:p>
    <w:p w14:paraId="35BEBAA5"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 xml:space="preserve">Dnia 27 lipca 2020 r. Grande Vitae GmbH z siedzibą w </w:t>
      </w:r>
      <w:proofErr w:type="spellStart"/>
      <w:r w:rsidRPr="00953F4F">
        <w:rPr>
          <w:rFonts w:ascii="Times New Roman" w:hAnsi="Times New Roman" w:cs="Times New Roman"/>
        </w:rPr>
        <w:t>Delmenhorst</w:t>
      </w:r>
      <w:proofErr w:type="spellEnd"/>
      <w:r w:rsidRPr="00953F4F">
        <w:rPr>
          <w:rFonts w:ascii="Times New Roman" w:hAnsi="Times New Roman" w:cs="Times New Roman"/>
        </w:rPr>
        <w:t>, Niemcy (dalej jako: „Grande Vitae”) złożyła wniosek o unieważnienie ww. znaku towarowego na podstawie wcześniejszego niemieckiego słownego znaku towarowego VITAE zarejestrowanego 23 marca 2000 r. i unijnego słownego znaku towarowego VITAE zarejestrowanego 27 listopada 2001 r. Obydwa wcześniejsze znaki towarowe rejestracją obejmowały „napoje alkoholowe (z wyjątkiem piwa)”.</w:t>
      </w:r>
    </w:p>
    <w:p w14:paraId="710B2960"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Podstawą prawną wniosku o unieważnienie był art. 8 ust. 1 lit. b rozporządzenia 2017/1001</w:t>
      </w:r>
      <w:r w:rsidRPr="00953F4F">
        <w:rPr>
          <w:rStyle w:val="Odwoanieprzypisudolnego"/>
          <w:rFonts w:ascii="Times New Roman" w:hAnsi="Times New Roman" w:cs="Times New Roman"/>
        </w:rPr>
        <w:footnoteReference w:id="1"/>
      </w:r>
      <w:r w:rsidRPr="00953F4F">
        <w:rPr>
          <w:rFonts w:ascii="Times New Roman" w:hAnsi="Times New Roman" w:cs="Times New Roman"/>
        </w:rPr>
        <w:t xml:space="preserve">, czyli podstawa związana z niebezpieczeństwem wprowadzenia odbiorców w błąd. W odpowiedzi na wniosek o unieważnienie </w:t>
      </w:r>
      <w:proofErr w:type="spellStart"/>
      <w:r w:rsidRPr="00953F4F">
        <w:rPr>
          <w:rFonts w:ascii="Times New Roman" w:hAnsi="Times New Roman" w:cs="Times New Roman"/>
        </w:rPr>
        <w:t>Vintae</w:t>
      </w:r>
      <w:proofErr w:type="spellEnd"/>
      <w:r w:rsidRPr="00953F4F">
        <w:rPr>
          <w:rFonts w:ascii="Times New Roman" w:hAnsi="Times New Roman" w:cs="Times New Roman"/>
        </w:rPr>
        <w:t xml:space="preserve"> </w:t>
      </w:r>
      <w:proofErr w:type="spellStart"/>
      <w:r w:rsidRPr="00953F4F">
        <w:rPr>
          <w:rFonts w:ascii="Times New Roman" w:hAnsi="Times New Roman" w:cs="Times New Roman"/>
        </w:rPr>
        <w:t>Luxury</w:t>
      </w:r>
      <w:proofErr w:type="spellEnd"/>
      <w:r w:rsidRPr="00953F4F">
        <w:rPr>
          <w:rFonts w:ascii="Times New Roman" w:hAnsi="Times New Roman" w:cs="Times New Roman"/>
        </w:rPr>
        <w:t xml:space="preserve"> podnosiła, że Grande Vitae przyzwoliła na używanie spornego znaku towarowego w rozumieniu art. 61 ust. 1 i 2 rozporządzenia 2017/1001, przez co nie mogła złożyć skutecznego wniosku o unieważnienie z uwagi na upływ 5-letniego terminu tolerowania określonego w wymienionych przepisach. Zarówno Wydział Unieważnień EUIPO, jak i Izba Odwoławcza EUIPO nie podzieliły twierdzenia, że Grande Vitae przyzwalała na używanie spornego znaku towarowego i unieważniły go ze względu na niebezpieczeństwo wprowadzenia odbiorców w błąd, wynikające z wysokiego stopnia wizualnego i fonetycznego podobieństwa spornych znaków, częściowej identyczności i częściowego podobieństwa towarów i usług oraz średniego stopnia pierwotnej zdolności odróżniającej wcześniejszego znaku towarowego. Instancje EUIPO przyjęły, że przedłożone w sprawie dowody nie były wystarczające do ustalenia, że Grande Vitae faktycznie była świadoma używania spornego znaku towarowego przez pięć kolejnych lat przed złożeniem wniosku o unieważnienie.</w:t>
      </w:r>
    </w:p>
    <w:p w14:paraId="543F351F"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 xml:space="preserve">W skardze złożonej do Sądu UE na decyzję Izby Odwoławczej EUIPO </w:t>
      </w:r>
      <w:proofErr w:type="spellStart"/>
      <w:r w:rsidRPr="00953F4F">
        <w:rPr>
          <w:rFonts w:ascii="Times New Roman" w:hAnsi="Times New Roman" w:cs="Times New Roman"/>
        </w:rPr>
        <w:t>Vintae</w:t>
      </w:r>
      <w:proofErr w:type="spellEnd"/>
      <w:r w:rsidRPr="00953F4F">
        <w:rPr>
          <w:rFonts w:ascii="Times New Roman" w:hAnsi="Times New Roman" w:cs="Times New Roman"/>
        </w:rPr>
        <w:t xml:space="preserve"> </w:t>
      </w:r>
      <w:proofErr w:type="spellStart"/>
      <w:r w:rsidRPr="00953F4F">
        <w:rPr>
          <w:rFonts w:ascii="Times New Roman" w:hAnsi="Times New Roman" w:cs="Times New Roman"/>
        </w:rPr>
        <w:t>Luxury</w:t>
      </w:r>
      <w:proofErr w:type="spellEnd"/>
      <w:r w:rsidRPr="00953F4F">
        <w:rPr>
          <w:rFonts w:ascii="Times New Roman" w:hAnsi="Times New Roman" w:cs="Times New Roman"/>
        </w:rPr>
        <w:t xml:space="preserve"> podniosła dwa zarzuty. Pierwszy dotyczył naruszenia art. 8 ust. 1 lit. b rozporządzenia 2017/1001, czyli błędów w zakresie przyjęcia niebezpieczeństwa wprowadzenia w błąd. Zarzut ten został jednak uznany za niedopuszczalny z uwagi na brak jego uzasadnienia. Drugi zarzut </w:t>
      </w:r>
      <w:r w:rsidRPr="00953F4F">
        <w:rPr>
          <w:rFonts w:ascii="Times New Roman" w:hAnsi="Times New Roman" w:cs="Times New Roman"/>
        </w:rPr>
        <w:lastRenderedPageBreak/>
        <w:t>dotyczył spełnienia przesłanek przyzwolenia określonych w art. 61 ust. 1 i 2 rozporządzenia 2017/1001 (identyczny w treści art. 53 ust. 1 i 2 rozporządzenia 40/94</w:t>
      </w:r>
      <w:r w:rsidRPr="00953F4F">
        <w:rPr>
          <w:rStyle w:val="Odwoanieprzypisudolnego"/>
          <w:rFonts w:ascii="Times New Roman" w:hAnsi="Times New Roman" w:cs="Times New Roman"/>
        </w:rPr>
        <w:footnoteReference w:id="2"/>
      </w:r>
      <w:r w:rsidRPr="00953F4F">
        <w:rPr>
          <w:rFonts w:ascii="Times New Roman" w:hAnsi="Times New Roman" w:cs="Times New Roman"/>
        </w:rPr>
        <w:t xml:space="preserve">, który, z uwagi na datę zgłoszenia znaku spornego, miał zastosowanie w niniejszej sprawie). </w:t>
      </w:r>
    </w:p>
    <w:p w14:paraId="17E5B9CF"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 xml:space="preserve">Art. 61 ust. 1 rozporządzenia 2017/1001 odnosi się do przyzwolenia używania późniejszego unijnego znaku towarowego przez właściciela wcześniejszego unijnego znaku towarowego, a art. 61 ust. 2 rozporządzenia 2017/1001 odnosi się do przyzwolenia przez właściciela m.in. wcześniejszego krajowego znaku towarowego na używanie późniejszego unijnego znaku towarowego. Jako że Izba odwoławcza EUIPO ograniczyła badanie niebezpieczeństwa wprowadzenia w błąd do wcześniejszego niemieckiego znaku towarowego VINTAE, to i Sąd UE skoncentrował się na zarzucie odnoszącym się do art. 61 ust. 2 rozporządzenia 2017/1001. </w:t>
      </w:r>
    </w:p>
    <w:p w14:paraId="631601FB"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 xml:space="preserve">W tym zakresie </w:t>
      </w:r>
      <w:proofErr w:type="spellStart"/>
      <w:r w:rsidRPr="00953F4F">
        <w:rPr>
          <w:rFonts w:ascii="Times New Roman" w:hAnsi="Times New Roman" w:cs="Times New Roman"/>
        </w:rPr>
        <w:t>Vintae</w:t>
      </w:r>
      <w:proofErr w:type="spellEnd"/>
      <w:r w:rsidRPr="00953F4F">
        <w:rPr>
          <w:rFonts w:ascii="Times New Roman" w:hAnsi="Times New Roman" w:cs="Times New Roman"/>
        </w:rPr>
        <w:t xml:space="preserve"> </w:t>
      </w:r>
      <w:proofErr w:type="spellStart"/>
      <w:r w:rsidRPr="00953F4F">
        <w:rPr>
          <w:rFonts w:ascii="Times New Roman" w:hAnsi="Times New Roman" w:cs="Times New Roman"/>
        </w:rPr>
        <w:t>Luxury</w:t>
      </w:r>
      <w:proofErr w:type="spellEnd"/>
      <w:r w:rsidRPr="00953F4F">
        <w:rPr>
          <w:rFonts w:ascii="Times New Roman" w:hAnsi="Times New Roman" w:cs="Times New Roman"/>
        </w:rPr>
        <w:t xml:space="preserve"> podnosiła przede wszystkim, że Izba Odwoławcza naruszyła wymieniony przepis stwierdzając, że w sprawie nie zostało wykazane, iż Grande Vitae faktycznie wiedziała o używaniu spornego znaku towarowego w Niemczech przez pięć kolejnych lat. W szczególności </w:t>
      </w:r>
      <w:proofErr w:type="spellStart"/>
      <w:r w:rsidRPr="00953F4F">
        <w:rPr>
          <w:rFonts w:ascii="Times New Roman" w:hAnsi="Times New Roman" w:cs="Times New Roman"/>
        </w:rPr>
        <w:t>Vintae</w:t>
      </w:r>
      <w:proofErr w:type="spellEnd"/>
      <w:r w:rsidRPr="00953F4F">
        <w:rPr>
          <w:rFonts w:ascii="Times New Roman" w:hAnsi="Times New Roman" w:cs="Times New Roman"/>
        </w:rPr>
        <w:t xml:space="preserve"> </w:t>
      </w:r>
      <w:proofErr w:type="spellStart"/>
      <w:r w:rsidRPr="00953F4F">
        <w:rPr>
          <w:rFonts w:ascii="Times New Roman" w:hAnsi="Times New Roman" w:cs="Times New Roman"/>
        </w:rPr>
        <w:t>Luxury</w:t>
      </w:r>
      <w:proofErr w:type="spellEnd"/>
      <w:r w:rsidRPr="00953F4F">
        <w:rPr>
          <w:rFonts w:ascii="Times New Roman" w:hAnsi="Times New Roman" w:cs="Times New Roman"/>
        </w:rPr>
        <w:t xml:space="preserve"> kwestionowała interpretację Izby Odwoławczej dotyczącą wymogów dowodowych „rzeczywistej” wiedzy o używaniu spornego znaku towarowego, utożsamiającą ją z rzeczywistą lub „subiektywną” wiedzą. </w:t>
      </w:r>
      <w:proofErr w:type="spellStart"/>
      <w:r w:rsidRPr="00953F4F">
        <w:rPr>
          <w:rFonts w:ascii="Times New Roman" w:hAnsi="Times New Roman" w:cs="Times New Roman"/>
        </w:rPr>
        <w:t>Vintae</w:t>
      </w:r>
      <w:proofErr w:type="spellEnd"/>
      <w:r w:rsidRPr="00953F4F">
        <w:rPr>
          <w:rFonts w:ascii="Times New Roman" w:hAnsi="Times New Roman" w:cs="Times New Roman"/>
        </w:rPr>
        <w:t xml:space="preserve"> </w:t>
      </w:r>
      <w:proofErr w:type="spellStart"/>
      <w:r w:rsidRPr="00953F4F">
        <w:rPr>
          <w:rFonts w:ascii="Times New Roman" w:hAnsi="Times New Roman" w:cs="Times New Roman"/>
        </w:rPr>
        <w:t>Luxury</w:t>
      </w:r>
      <w:proofErr w:type="spellEnd"/>
      <w:r w:rsidRPr="00953F4F">
        <w:rPr>
          <w:rFonts w:ascii="Times New Roman" w:hAnsi="Times New Roman" w:cs="Times New Roman"/>
        </w:rPr>
        <w:t xml:space="preserve"> twierdziła, że ograniczenie możliwości wnoszenia wniosku o unieważnienie określone w art. 61 ust. 1 rozporządzenia 2017/1001 ma na celu zachowanie pewności prawnej. W związku z tym twierdziła ona, że wystarczający jest wymóg zwykłego udowodnienia świadomości, jaką właściciel wcześniejszego znaku mógł lub powinien mieć w odniesieniu do tego używania na podstawie zachowania zwykłej staranności. Świadomość tę można domniemywać zdaniem </w:t>
      </w:r>
      <w:proofErr w:type="spellStart"/>
      <w:r w:rsidRPr="00953F4F">
        <w:rPr>
          <w:rFonts w:ascii="Times New Roman" w:hAnsi="Times New Roman" w:cs="Times New Roman"/>
        </w:rPr>
        <w:t>Vintae</w:t>
      </w:r>
      <w:proofErr w:type="spellEnd"/>
      <w:r w:rsidRPr="00953F4F">
        <w:rPr>
          <w:rFonts w:ascii="Times New Roman" w:hAnsi="Times New Roman" w:cs="Times New Roman"/>
        </w:rPr>
        <w:t xml:space="preserve"> </w:t>
      </w:r>
      <w:proofErr w:type="spellStart"/>
      <w:r w:rsidRPr="00953F4F">
        <w:rPr>
          <w:rFonts w:ascii="Times New Roman" w:hAnsi="Times New Roman" w:cs="Times New Roman"/>
        </w:rPr>
        <w:t>Luxury</w:t>
      </w:r>
      <w:proofErr w:type="spellEnd"/>
      <w:r w:rsidRPr="00953F4F">
        <w:rPr>
          <w:rFonts w:ascii="Times New Roman" w:hAnsi="Times New Roman" w:cs="Times New Roman"/>
        </w:rPr>
        <w:t xml:space="preserve"> między innymi na podstawie ogólnej wiedzy o tym używaniu w danym sektorze gospodarczym lub na podstawie czasu trwania używania. Do tego, </w:t>
      </w:r>
      <w:proofErr w:type="spellStart"/>
      <w:r w:rsidRPr="00953F4F">
        <w:rPr>
          <w:rFonts w:ascii="Times New Roman" w:hAnsi="Times New Roman" w:cs="Times New Roman"/>
        </w:rPr>
        <w:t>Vintae</w:t>
      </w:r>
      <w:proofErr w:type="spellEnd"/>
      <w:r w:rsidRPr="00953F4F">
        <w:rPr>
          <w:rFonts w:ascii="Times New Roman" w:hAnsi="Times New Roman" w:cs="Times New Roman"/>
        </w:rPr>
        <w:t xml:space="preserve"> </w:t>
      </w:r>
      <w:proofErr w:type="spellStart"/>
      <w:r w:rsidRPr="00953F4F">
        <w:rPr>
          <w:rFonts w:ascii="Times New Roman" w:hAnsi="Times New Roman" w:cs="Times New Roman"/>
        </w:rPr>
        <w:t>Luxury</w:t>
      </w:r>
      <w:proofErr w:type="spellEnd"/>
      <w:r w:rsidRPr="00953F4F">
        <w:rPr>
          <w:rFonts w:ascii="Times New Roman" w:hAnsi="Times New Roman" w:cs="Times New Roman"/>
        </w:rPr>
        <w:t xml:space="preserve"> kwestionowała dokonaną przez Izbę Odwoławczą EUIPO ocenę dowodów przedstawionych w celu ustalenia czy Grande Vitae faktycznie wiedziała o używaniu spornego znaku towarowego.</w:t>
      </w:r>
    </w:p>
    <w:p w14:paraId="5E56D478" w14:textId="77777777" w:rsidR="0066095C" w:rsidRPr="00953F4F" w:rsidRDefault="0066095C" w:rsidP="0066095C">
      <w:pPr>
        <w:pStyle w:val="Akapitzlist"/>
        <w:numPr>
          <w:ilvl w:val="0"/>
          <w:numId w:val="1"/>
        </w:numPr>
        <w:spacing w:after="0" w:line="360" w:lineRule="auto"/>
        <w:ind w:left="567"/>
        <w:jc w:val="both"/>
        <w:rPr>
          <w:rFonts w:ascii="Times New Roman" w:hAnsi="Times New Roman" w:cs="Times New Roman"/>
          <w:b/>
          <w:bCs/>
        </w:rPr>
      </w:pPr>
      <w:r w:rsidRPr="00953F4F">
        <w:rPr>
          <w:rFonts w:ascii="Times New Roman" w:hAnsi="Times New Roman" w:cs="Times New Roman"/>
          <w:b/>
          <w:bCs/>
        </w:rPr>
        <w:t>Podstawa prawna</w:t>
      </w:r>
    </w:p>
    <w:p w14:paraId="4421FB13"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 xml:space="preserve">Jak już wspomniano, sprawa koncentruje się na interpretacji art. 61 ust. 2 rozporządzenia 2017/1001 oraz ocenie materiału dowodowego w świetle tego przepisu. Stosownie do jego treści, </w:t>
      </w:r>
      <w:r>
        <w:rPr>
          <w:rFonts w:ascii="Times New Roman" w:hAnsi="Times New Roman" w:cs="Times New Roman"/>
        </w:rPr>
        <w:t>„</w:t>
      </w:r>
      <w:r w:rsidRPr="00953F4F">
        <w:rPr>
          <w:rFonts w:ascii="Times New Roman" w:hAnsi="Times New Roman" w:cs="Times New Roman"/>
        </w:rPr>
        <w:t xml:space="preserve">jeżeli właściciel wcześniejszego krajowego znaku towarowego (…) przez okres kolejnych pięciu lat przyzwalał na używanie późniejszego unijnego znaku towarowego w państwie członkowskim, w którym wcześniejszy znak towarowy (…) jest </w:t>
      </w:r>
      <w:r w:rsidRPr="00953F4F">
        <w:rPr>
          <w:rFonts w:ascii="Times New Roman" w:hAnsi="Times New Roman" w:cs="Times New Roman"/>
        </w:rPr>
        <w:lastRenderedPageBreak/>
        <w:t>chroniony, będąc świadomym tego używania, właściciel ten traci prawo do złożenia, na podstawie wcześniejszego znaku towarowego (…) wniosku o unieważnienie późniejszego znaku towarowego w odniesieniu do towarów lub usług, dla których późniejszy znak towarowy był używany, chyba że zgłoszenia późniejszego unijnego znaku towarowego dokonano w złej wierze</w:t>
      </w:r>
      <w:r>
        <w:rPr>
          <w:rFonts w:ascii="Times New Roman" w:hAnsi="Times New Roman" w:cs="Times New Roman"/>
        </w:rPr>
        <w:t>”</w:t>
      </w:r>
      <w:r w:rsidRPr="00953F4F">
        <w:rPr>
          <w:rFonts w:ascii="Times New Roman" w:hAnsi="Times New Roman" w:cs="Times New Roman"/>
        </w:rPr>
        <w:t>.</w:t>
      </w:r>
    </w:p>
    <w:p w14:paraId="66A9EEED"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Interpretacja tego przepisu jest istotna nie tylko na tle regulacji zawartej w tym przepisie oraz regulacji określonej w art. 61 ust. 1 rozporządzenia 2017/1001, jako przepisów wyłączających możliwość unieważnienia późniejszego unijnego znaku towarowego z uwagi na jego tolerowanie przez właściciela wcześniejszego unijnego lub krajowego znaku towarowego (oraz wcześniejszego oznaczenia o znaczeniu większym niż lokalne). Analogicznie jest bowiem skonstruowany art. 9 ust. 1 dyrektywy 2015/2436</w:t>
      </w:r>
      <w:r w:rsidRPr="00953F4F">
        <w:rPr>
          <w:rStyle w:val="Odwoanieprzypisudolnego"/>
          <w:rFonts w:ascii="Times New Roman" w:hAnsi="Times New Roman" w:cs="Times New Roman"/>
        </w:rPr>
        <w:footnoteReference w:id="3"/>
      </w:r>
      <w:r w:rsidRPr="00953F4F">
        <w:rPr>
          <w:rFonts w:ascii="Times New Roman" w:hAnsi="Times New Roman" w:cs="Times New Roman"/>
        </w:rPr>
        <w:t xml:space="preserve"> odnoszący się do tolerowania późniejszego krajowego znaku towarowego przez właściciela wcześniejszego krajowego lub unijnego znaku towarowego oraz art. 9 ust. 2 tego rozporządzenia, czytany łącznie z ust. 1, odnoszący się do innych praw wcześniejszych, o których mowa w art. 5 ust. 2 lub art. 5 ust. 3 lit. a dyrektywy 2015/2436. Wymienione przepisy dyrektywy są implementowane do prawa polskiego odpowiednio art. 165 ust. 1 pkt 1 i 3 </w:t>
      </w:r>
      <w:proofErr w:type="spellStart"/>
      <w:r w:rsidRPr="00953F4F">
        <w:rPr>
          <w:rFonts w:ascii="Times New Roman" w:hAnsi="Times New Roman" w:cs="Times New Roman"/>
        </w:rPr>
        <w:t>p.w.p</w:t>
      </w:r>
      <w:proofErr w:type="spellEnd"/>
      <w:r w:rsidRPr="00953F4F">
        <w:rPr>
          <w:rStyle w:val="Odwoanieprzypisudolnego"/>
          <w:rFonts w:ascii="Times New Roman" w:hAnsi="Times New Roman" w:cs="Times New Roman"/>
        </w:rPr>
        <w:footnoteReference w:id="4"/>
      </w:r>
      <w:r w:rsidRPr="00953F4F">
        <w:rPr>
          <w:rFonts w:ascii="Times New Roman" w:hAnsi="Times New Roman" w:cs="Times New Roman"/>
        </w:rPr>
        <w:t xml:space="preserve">. </w:t>
      </w:r>
    </w:p>
    <w:p w14:paraId="203FF0F0" w14:textId="4C43871D"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Sama możliwość utrzymania rejestracji późniejszego znaku towarowego, przy możliwości zakazania używania tego znaku w procesie cywilnym nie jest szczególnie użyteczna z perspektywy uprawnionego. Podstawową funkcją znaku towarowego jest bowiem oznaczanie towarów lub usług w obrocie gospodarczym w celu zagwarantowania odbiorcom, że tak sygnowane towary pochodzą z określonego przedsiębiorstwa (lub po prostu określonego źródła handlowego), bez ryzyka wprowadzenia tych odbiorców w błąd. Wymienione przepisy mają zatem praktyczne znaczenie przede wszystkim przy ich łącznym odczytaniu z art. 16 rozporządzenia 2017/1001 oraz art. 18 dyrektywy 2015/2436 (a w zasadzie przepisami ustaw krajowych implementującymi te normy do prawodawstwa krajowego), przewidującymi brak możliwości zakazania używania późniejszego zarejestrowanego znaku towarowego, jeżeli niemożliwe jest unieważnienie tego znaku z uwagi na zaistniałe przyzwolenie (tolerowanie), o czym traktują przepisy wskazane powyżej. Art. 18 dyrektywy został wdrożony do prawa polskiego w zakresie przyzwolenia normą określoną w art. 296 ust. 3</w:t>
      </w:r>
      <w:r w:rsidRPr="00953F4F">
        <w:rPr>
          <w:rFonts w:ascii="Times New Roman" w:hAnsi="Times New Roman" w:cs="Times New Roman"/>
          <w:vertAlign w:val="superscript"/>
        </w:rPr>
        <w:t xml:space="preserve">1 </w:t>
      </w:r>
      <w:r w:rsidRPr="00953F4F">
        <w:rPr>
          <w:rFonts w:ascii="Times New Roman" w:hAnsi="Times New Roman" w:cs="Times New Roman"/>
        </w:rPr>
        <w:t>oraz ust. 3</w:t>
      </w:r>
      <w:r w:rsidRPr="00953F4F">
        <w:rPr>
          <w:rFonts w:ascii="Times New Roman" w:hAnsi="Times New Roman" w:cs="Times New Roman"/>
          <w:vertAlign w:val="superscript"/>
        </w:rPr>
        <w:t xml:space="preserve">2 </w:t>
      </w:r>
      <w:proofErr w:type="spellStart"/>
      <w:r w:rsidRPr="00953F4F">
        <w:rPr>
          <w:rFonts w:ascii="Times New Roman" w:hAnsi="Times New Roman" w:cs="Times New Roman"/>
        </w:rPr>
        <w:t>p.w.p</w:t>
      </w:r>
      <w:proofErr w:type="spellEnd"/>
      <w:r w:rsidRPr="00953F4F">
        <w:rPr>
          <w:rFonts w:ascii="Times New Roman" w:hAnsi="Times New Roman" w:cs="Times New Roman"/>
        </w:rPr>
        <w:t xml:space="preserve">. Przepisy wyłączające wprost możliwość zakazania używania znaku towarowego, który nie </w:t>
      </w:r>
      <w:r w:rsidRPr="00953F4F">
        <w:rPr>
          <w:rFonts w:ascii="Times New Roman" w:hAnsi="Times New Roman" w:cs="Times New Roman"/>
        </w:rPr>
        <w:lastRenderedPageBreak/>
        <w:t>może zostać unieważniony zostały dodane do systemu unijnego znaku towarowego oraz systemów krajowych znaków towarowych dopiero w ramach ostatniej reformy prawa znaków towarowych w UE (konkretnie art. 1 pkt 15 rozporządzenia 2015/2424</w:t>
      </w:r>
      <w:r w:rsidRPr="00953F4F">
        <w:rPr>
          <w:rStyle w:val="Odwoanieprzypisudolnego"/>
          <w:rFonts w:ascii="Times New Roman" w:hAnsi="Times New Roman" w:cs="Times New Roman"/>
        </w:rPr>
        <w:footnoteReference w:id="5"/>
      </w:r>
      <w:r w:rsidRPr="00953F4F">
        <w:rPr>
          <w:rFonts w:ascii="Times New Roman" w:hAnsi="Times New Roman" w:cs="Times New Roman"/>
        </w:rPr>
        <w:t xml:space="preserve"> oraz art. 18 dyrektywy 2015/2436</w:t>
      </w:r>
      <w:r w:rsidR="002A7A54">
        <w:rPr>
          <w:rStyle w:val="Odwoanieprzypisudolnego"/>
          <w:rFonts w:ascii="Times New Roman" w:hAnsi="Times New Roman" w:cs="Times New Roman"/>
        </w:rPr>
        <w:footnoteReference w:id="6"/>
      </w:r>
      <w:r w:rsidRPr="00953F4F">
        <w:rPr>
          <w:rFonts w:ascii="Times New Roman" w:hAnsi="Times New Roman" w:cs="Times New Roman"/>
        </w:rPr>
        <w:t>). Wcześniejsz</w:t>
      </w:r>
      <w:r w:rsidR="009312AD">
        <w:rPr>
          <w:rFonts w:ascii="Times New Roman" w:hAnsi="Times New Roman" w:cs="Times New Roman"/>
        </w:rPr>
        <w:t>e</w:t>
      </w:r>
      <w:r w:rsidRPr="00953F4F">
        <w:rPr>
          <w:rFonts w:ascii="Times New Roman" w:hAnsi="Times New Roman" w:cs="Times New Roman"/>
        </w:rPr>
        <w:t xml:space="preserve"> regulacj</w:t>
      </w:r>
      <w:r w:rsidR="009312AD">
        <w:rPr>
          <w:rFonts w:ascii="Times New Roman" w:hAnsi="Times New Roman" w:cs="Times New Roman"/>
        </w:rPr>
        <w:t>e</w:t>
      </w:r>
      <w:r w:rsidRPr="00953F4F">
        <w:rPr>
          <w:rFonts w:ascii="Times New Roman" w:hAnsi="Times New Roman" w:cs="Times New Roman"/>
        </w:rPr>
        <w:t>, traktując</w:t>
      </w:r>
      <w:r w:rsidR="009312AD">
        <w:rPr>
          <w:rFonts w:ascii="Times New Roman" w:hAnsi="Times New Roman" w:cs="Times New Roman"/>
        </w:rPr>
        <w:t>e</w:t>
      </w:r>
      <w:r w:rsidRPr="00953F4F">
        <w:rPr>
          <w:rFonts w:ascii="Times New Roman" w:hAnsi="Times New Roman" w:cs="Times New Roman"/>
        </w:rPr>
        <w:t xml:space="preserve"> o przyzwoleniu (tolerowaniu) jedynie w odniesieniu do stanu rejestru, był</w:t>
      </w:r>
      <w:r w:rsidR="009312AD">
        <w:rPr>
          <w:rFonts w:ascii="Times New Roman" w:hAnsi="Times New Roman" w:cs="Times New Roman"/>
        </w:rPr>
        <w:t>y</w:t>
      </w:r>
      <w:r w:rsidRPr="00953F4F">
        <w:rPr>
          <w:rFonts w:ascii="Times New Roman" w:hAnsi="Times New Roman" w:cs="Times New Roman"/>
        </w:rPr>
        <w:t xml:space="preserve"> niepełn</w:t>
      </w:r>
      <w:r w:rsidR="009312AD">
        <w:rPr>
          <w:rFonts w:ascii="Times New Roman" w:hAnsi="Times New Roman" w:cs="Times New Roman"/>
        </w:rPr>
        <w:t>e</w:t>
      </w:r>
      <w:r w:rsidRPr="00953F4F">
        <w:rPr>
          <w:rFonts w:ascii="Times New Roman" w:hAnsi="Times New Roman" w:cs="Times New Roman"/>
        </w:rPr>
        <w:t>, choć na konieczność utraty roszczenia zakazowego, a nie tylko utraty możliwości złożenia wniosku o unieważnienie, w wyniku przyzwolenia (tolerowania) przez „dość długi okres” używania późniejszego znaku towarowego, wskazywała już preambuła Pierwszej Dyrektywy Rady z dnia 21 grudnia 1988 r. mająca na celu zbliżenie ustawodawstw Państw Członkowskich odnoszących się do znaków towarowych</w:t>
      </w:r>
      <w:r w:rsidRPr="00953F4F">
        <w:rPr>
          <w:rStyle w:val="Odwoanieprzypisudolnego"/>
          <w:rFonts w:ascii="Times New Roman" w:hAnsi="Times New Roman" w:cs="Times New Roman"/>
        </w:rPr>
        <w:footnoteReference w:id="7"/>
      </w:r>
      <w:r w:rsidRPr="00953F4F">
        <w:rPr>
          <w:rFonts w:ascii="Times New Roman" w:hAnsi="Times New Roman" w:cs="Times New Roman"/>
        </w:rPr>
        <w:t>. Nie oznacza to również, że nie można było podobnego skutku wywodzić z innych przepisów</w:t>
      </w:r>
      <w:r w:rsidRPr="00953F4F">
        <w:rPr>
          <w:rStyle w:val="Odwoanieprzypisudolnego"/>
          <w:rFonts w:ascii="Times New Roman" w:hAnsi="Times New Roman" w:cs="Times New Roman"/>
        </w:rPr>
        <w:footnoteReference w:id="8"/>
      </w:r>
      <w:r w:rsidRPr="00953F4F">
        <w:rPr>
          <w:rFonts w:ascii="Times New Roman" w:hAnsi="Times New Roman" w:cs="Times New Roman"/>
        </w:rPr>
        <w:t>.</w:t>
      </w:r>
    </w:p>
    <w:p w14:paraId="500ADDCF" w14:textId="77777777" w:rsidR="0066095C" w:rsidRPr="00953F4F" w:rsidRDefault="0066095C" w:rsidP="0066095C">
      <w:pPr>
        <w:pStyle w:val="Akapitzlist"/>
        <w:numPr>
          <w:ilvl w:val="0"/>
          <w:numId w:val="1"/>
        </w:numPr>
        <w:spacing w:after="0" w:line="360" w:lineRule="auto"/>
        <w:ind w:left="567"/>
        <w:jc w:val="both"/>
        <w:rPr>
          <w:rFonts w:ascii="Times New Roman" w:hAnsi="Times New Roman" w:cs="Times New Roman"/>
          <w:b/>
          <w:bCs/>
        </w:rPr>
      </w:pPr>
      <w:r w:rsidRPr="00953F4F">
        <w:rPr>
          <w:rFonts w:ascii="Times New Roman" w:hAnsi="Times New Roman" w:cs="Times New Roman"/>
          <w:b/>
          <w:bCs/>
        </w:rPr>
        <w:t>Stanowisko Sądu UE co do instytucji przyzwolenia (tolerowania)</w:t>
      </w:r>
    </w:p>
    <w:p w14:paraId="4BEC37FF"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Sąd UE rozpoznając sprawę przypomniał, że celem instytucji przyzwolenia jest ukaranie właścicieli wcześniejszych znaków towarowych, którzy przez pięć kolejnych lat godzili się na używanie późniejszego unijnego znaku towarowego, będąc świadomi takiego używania, poprzez pozbawienie ich możliwości wystąpienia o unieważnienie takiego znaku towarowego. Ma to zapewnić równowagę między interesem właściciela znaku towarowego w zakresie ochrony podstawowej funkcji tego znaku, jaką jest oznaczanie towarów bez ryzyka wprowadzenia odbiorców w błąd co do ich pochodzenia, a interesem innych podmiotów gospodarczych w zakresie posiadania oznaczeń umożliwiających oznaczanie ich towarów lub usług</w:t>
      </w:r>
      <w:r w:rsidRPr="00953F4F">
        <w:rPr>
          <w:rStyle w:val="Odwoanieprzypisudolnego"/>
          <w:rFonts w:ascii="Times New Roman" w:hAnsi="Times New Roman" w:cs="Times New Roman"/>
        </w:rPr>
        <w:footnoteReference w:id="9"/>
      </w:r>
      <w:r w:rsidRPr="00953F4F">
        <w:rPr>
          <w:rFonts w:ascii="Times New Roman" w:hAnsi="Times New Roman" w:cs="Times New Roman"/>
        </w:rPr>
        <w:t xml:space="preserve">. </w:t>
      </w:r>
    </w:p>
    <w:p w14:paraId="402D1DC2"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lastRenderedPageBreak/>
        <w:t>Aby chronić swój wcześniejszy znak towarowy, jego właściciel musi jednak mieć możliwość sprzeciwienia się używaniu późniejszego znaku towarowego, który jest identyczny lub podobny do jego znaku towarowego. Sprzeciw ten może on jednak wyrazić nie wcześniej niż w momencie powzięcia rzeczywistej wiedzy o używaniu późniejszego znaku towarowego</w:t>
      </w:r>
      <w:r w:rsidRPr="00953F4F">
        <w:rPr>
          <w:rStyle w:val="Odwoanieprzypisudolnego"/>
          <w:rFonts w:ascii="Times New Roman" w:hAnsi="Times New Roman" w:cs="Times New Roman"/>
        </w:rPr>
        <w:footnoteReference w:id="10"/>
      </w:r>
      <w:r w:rsidRPr="00953F4F">
        <w:rPr>
          <w:rFonts w:ascii="Times New Roman" w:hAnsi="Times New Roman" w:cs="Times New Roman"/>
        </w:rPr>
        <w:t>. W konsekwencji, dopiero w tym momencie bieg może rozpocząć 5-letni termin utraty możliwości złożenia wniosku o unieważnienie znaku późniejszego wynikający z przyzwolenia</w:t>
      </w:r>
      <w:r w:rsidRPr="00953F4F">
        <w:rPr>
          <w:rStyle w:val="Odwoanieprzypisudolnego"/>
          <w:rFonts w:ascii="Times New Roman" w:hAnsi="Times New Roman" w:cs="Times New Roman"/>
        </w:rPr>
        <w:footnoteReference w:id="11"/>
      </w:r>
      <w:r w:rsidRPr="00953F4F">
        <w:rPr>
          <w:rFonts w:ascii="Times New Roman" w:hAnsi="Times New Roman" w:cs="Times New Roman"/>
        </w:rPr>
        <w:t xml:space="preserve">. </w:t>
      </w:r>
    </w:p>
    <w:p w14:paraId="1DDB7970"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A zatem, właściciel późniejszego znaku towarowego musi przedstawić dowody rzeczywistej wiedzy o używaniu tego znaku przez właściciela wcześniejszego znaku towarowego</w:t>
      </w:r>
      <w:r w:rsidRPr="00953F4F">
        <w:rPr>
          <w:rStyle w:val="Odwoanieprzypisudolnego"/>
          <w:rFonts w:ascii="Times New Roman" w:hAnsi="Times New Roman" w:cs="Times New Roman"/>
        </w:rPr>
        <w:footnoteReference w:id="12"/>
      </w:r>
      <w:r w:rsidRPr="00953F4F">
        <w:rPr>
          <w:rFonts w:ascii="Times New Roman" w:hAnsi="Times New Roman" w:cs="Times New Roman"/>
        </w:rPr>
        <w:t>. Potwierdza to motyw 29 dyrektywy 2015/2436, w którym stwierdza się, że zarzut przedawnienia w wyniku zaniechania sprzeciwu wobec używania znaku towarowego ma zastosowanie, jeżeli właściciel wcześniejszego znaku towarowego „świadomie tolerował używanie tego znaku przez znaczny okres”, innymi słowy „umyślnie” lub „w pełni świadomości faktów”</w:t>
      </w:r>
      <w:r w:rsidRPr="00953F4F">
        <w:rPr>
          <w:rStyle w:val="Odwoanieprzypisudolnego"/>
          <w:rFonts w:ascii="Times New Roman" w:hAnsi="Times New Roman" w:cs="Times New Roman"/>
        </w:rPr>
        <w:footnoteReference w:id="13"/>
      </w:r>
      <w:r w:rsidRPr="00953F4F">
        <w:rPr>
          <w:rFonts w:ascii="Times New Roman" w:hAnsi="Times New Roman" w:cs="Times New Roman"/>
        </w:rPr>
        <w:t>. W konsekwencji, samo wykazanie potencjalnej świadomości używania lub przedstawienie dowodów pozwalających na domniemanie istnienia takiej świadomości jest niewystarczające</w:t>
      </w:r>
      <w:r w:rsidRPr="00953F4F">
        <w:rPr>
          <w:rStyle w:val="Odwoanieprzypisudolnego"/>
          <w:rFonts w:ascii="Times New Roman" w:hAnsi="Times New Roman" w:cs="Times New Roman"/>
        </w:rPr>
        <w:footnoteReference w:id="14"/>
      </w:r>
      <w:r w:rsidRPr="00953F4F">
        <w:rPr>
          <w:rFonts w:ascii="Times New Roman" w:hAnsi="Times New Roman" w:cs="Times New Roman"/>
        </w:rPr>
        <w:t>, tak samo jak wykazanie możliwości lub powinności wiedzy o znaku późniejszym</w:t>
      </w:r>
      <w:r w:rsidRPr="00953F4F">
        <w:rPr>
          <w:rStyle w:val="Odwoanieprzypisudolnego"/>
          <w:rFonts w:ascii="Times New Roman" w:hAnsi="Times New Roman" w:cs="Times New Roman"/>
        </w:rPr>
        <w:footnoteReference w:id="15"/>
      </w:r>
      <w:r w:rsidRPr="00953F4F">
        <w:rPr>
          <w:rFonts w:ascii="Times New Roman" w:hAnsi="Times New Roman" w:cs="Times New Roman"/>
        </w:rPr>
        <w:t>.</w:t>
      </w:r>
    </w:p>
    <w:p w14:paraId="07CE8EFD"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 xml:space="preserve">Trybunał stwierdził również, że </w:t>
      </w:r>
      <w:proofErr w:type="spellStart"/>
      <w:r w:rsidRPr="00953F4F">
        <w:rPr>
          <w:rFonts w:ascii="Times New Roman" w:hAnsi="Times New Roman" w:cs="Times New Roman"/>
        </w:rPr>
        <w:t>Vintae</w:t>
      </w:r>
      <w:proofErr w:type="spellEnd"/>
      <w:r w:rsidRPr="00953F4F">
        <w:rPr>
          <w:rFonts w:ascii="Times New Roman" w:hAnsi="Times New Roman" w:cs="Times New Roman"/>
        </w:rPr>
        <w:t xml:space="preserve"> nie może powoływać się na domniemanie wiedzy wynikające z powszechnej wiedzy na temat używania w danym sektorze gospodarczym, która może wynikać między innymi z czasu trwania tego używania</w:t>
      </w:r>
      <w:r w:rsidRPr="00953F4F">
        <w:rPr>
          <w:rStyle w:val="Odwoanieprzypisudolnego"/>
          <w:rFonts w:ascii="Times New Roman" w:hAnsi="Times New Roman" w:cs="Times New Roman"/>
        </w:rPr>
        <w:footnoteReference w:id="16"/>
      </w:r>
      <w:r w:rsidRPr="00953F4F">
        <w:rPr>
          <w:rFonts w:ascii="Times New Roman" w:hAnsi="Times New Roman" w:cs="Times New Roman"/>
        </w:rPr>
        <w:t xml:space="preserve">. Jest to </w:t>
      </w:r>
      <w:r w:rsidRPr="00953F4F">
        <w:rPr>
          <w:rFonts w:ascii="Times New Roman" w:hAnsi="Times New Roman" w:cs="Times New Roman"/>
        </w:rPr>
        <w:lastRenderedPageBreak/>
        <w:t>bowiem domniemanie stosowane przy ocenie złej wiary, ale nie można go przenieść na grunt przyzwolenia</w:t>
      </w:r>
      <w:r w:rsidRPr="00953F4F">
        <w:rPr>
          <w:rStyle w:val="Odwoanieprzypisudolnego"/>
          <w:rFonts w:ascii="Times New Roman" w:hAnsi="Times New Roman" w:cs="Times New Roman"/>
        </w:rPr>
        <w:footnoteReference w:id="17"/>
      </w:r>
      <w:r w:rsidRPr="00953F4F">
        <w:rPr>
          <w:rFonts w:ascii="Times New Roman" w:hAnsi="Times New Roman" w:cs="Times New Roman"/>
        </w:rPr>
        <w:t xml:space="preserve">. </w:t>
      </w:r>
    </w:p>
    <w:p w14:paraId="1A503676" w14:textId="23E40530"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 xml:space="preserve">Dla porządku należy również wspomnieć, że </w:t>
      </w:r>
      <w:proofErr w:type="spellStart"/>
      <w:r w:rsidRPr="00953F4F">
        <w:rPr>
          <w:rFonts w:ascii="Times New Roman" w:hAnsi="Times New Roman" w:cs="Times New Roman"/>
        </w:rPr>
        <w:t>Vintae</w:t>
      </w:r>
      <w:proofErr w:type="spellEnd"/>
      <w:r w:rsidRPr="00953F4F">
        <w:rPr>
          <w:rFonts w:ascii="Times New Roman" w:hAnsi="Times New Roman" w:cs="Times New Roman"/>
        </w:rPr>
        <w:t xml:space="preserve"> </w:t>
      </w:r>
      <w:proofErr w:type="spellStart"/>
      <w:r w:rsidRPr="00953F4F">
        <w:rPr>
          <w:rFonts w:ascii="Times New Roman" w:hAnsi="Times New Roman" w:cs="Times New Roman"/>
        </w:rPr>
        <w:t>Luxury</w:t>
      </w:r>
      <w:proofErr w:type="spellEnd"/>
      <w:r w:rsidRPr="00953F4F">
        <w:rPr>
          <w:rFonts w:ascii="Times New Roman" w:hAnsi="Times New Roman" w:cs="Times New Roman"/>
        </w:rPr>
        <w:t xml:space="preserve"> wniosła odwołanie od niniejszego wyroku. Nie zostało ono jednak przyjęte przez Trybunał Sprawiedliwości do rozpoznania z uwagi na brak wykazania przez skarżącego, że odwołanie to dotyczy kwestii </w:t>
      </w:r>
      <w:r w:rsidRPr="002912D4">
        <w:rPr>
          <w:rFonts w:ascii="Times New Roman" w:hAnsi="Times New Roman" w:cs="Times New Roman"/>
        </w:rPr>
        <w:t>istotnej dla jednolitości, spójności lub rozwoju prawa UE</w:t>
      </w:r>
      <w:r w:rsidR="00A14CA5" w:rsidRPr="002912D4">
        <w:rPr>
          <w:rStyle w:val="Odwoanieprzypisudolnego"/>
          <w:rFonts w:ascii="Times New Roman" w:hAnsi="Times New Roman" w:cs="Times New Roman"/>
        </w:rPr>
        <w:footnoteReference w:id="18"/>
      </w:r>
      <w:r w:rsidRPr="002912D4">
        <w:rPr>
          <w:rFonts w:ascii="Times New Roman" w:hAnsi="Times New Roman" w:cs="Times New Roman"/>
        </w:rPr>
        <w:t>, co obecnie stanowi warunek przyjęcia odwołania do rozpoznania</w:t>
      </w:r>
      <w:r w:rsidRPr="002912D4">
        <w:rPr>
          <w:rStyle w:val="Odwoanieprzypisudolnego"/>
          <w:rFonts w:ascii="Times New Roman" w:hAnsi="Times New Roman" w:cs="Times New Roman"/>
        </w:rPr>
        <w:footnoteReference w:id="19"/>
      </w:r>
      <w:r w:rsidRPr="002912D4">
        <w:rPr>
          <w:rFonts w:ascii="Times New Roman" w:hAnsi="Times New Roman" w:cs="Times New Roman"/>
        </w:rPr>
        <w:t>.</w:t>
      </w:r>
    </w:p>
    <w:p w14:paraId="12460956" w14:textId="77777777" w:rsidR="0066095C" w:rsidRPr="00953F4F" w:rsidRDefault="0066095C" w:rsidP="0066095C">
      <w:pPr>
        <w:pStyle w:val="Akapitzlist"/>
        <w:numPr>
          <w:ilvl w:val="0"/>
          <w:numId w:val="1"/>
        </w:numPr>
        <w:spacing w:after="0" w:line="360" w:lineRule="auto"/>
        <w:ind w:left="567" w:hanging="567"/>
        <w:jc w:val="both"/>
        <w:rPr>
          <w:rFonts w:ascii="Times New Roman" w:hAnsi="Times New Roman" w:cs="Times New Roman"/>
          <w:b/>
          <w:bCs/>
        </w:rPr>
      </w:pPr>
      <w:r w:rsidRPr="00953F4F">
        <w:rPr>
          <w:rFonts w:ascii="Times New Roman" w:hAnsi="Times New Roman" w:cs="Times New Roman"/>
          <w:b/>
          <w:bCs/>
        </w:rPr>
        <w:t>Stanowisko Sądu UE w kwestii oceny stanu faktycznego</w:t>
      </w:r>
    </w:p>
    <w:p w14:paraId="23E0F220"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 xml:space="preserve">Sąd UE uznał, że dowody przedstawione w ramach postępowania nie wystarczyły do przyjęcia, że Grande Vitae miała świadomość używania znaku późniejszego przez 5 lat przed datą wniosku o jego unieważnienie. Zdaniem Sądu UE przedstawienie przez </w:t>
      </w:r>
      <w:proofErr w:type="spellStart"/>
      <w:r w:rsidRPr="00953F4F">
        <w:rPr>
          <w:rFonts w:ascii="Times New Roman" w:hAnsi="Times New Roman" w:cs="Times New Roman"/>
        </w:rPr>
        <w:t>Vintae</w:t>
      </w:r>
      <w:proofErr w:type="spellEnd"/>
      <w:r w:rsidRPr="00953F4F">
        <w:rPr>
          <w:rFonts w:ascii="Times New Roman" w:hAnsi="Times New Roman" w:cs="Times New Roman"/>
        </w:rPr>
        <w:t xml:space="preserve"> </w:t>
      </w:r>
      <w:proofErr w:type="spellStart"/>
      <w:r w:rsidRPr="00953F4F">
        <w:rPr>
          <w:rFonts w:ascii="Times New Roman" w:hAnsi="Times New Roman" w:cs="Times New Roman"/>
        </w:rPr>
        <w:t>Luxury</w:t>
      </w:r>
      <w:proofErr w:type="spellEnd"/>
      <w:r w:rsidRPr="00953F4F">
        <w:rPr>
          <w:rFonts w:ascii="Times New Roman" w:hAnsi="Times New Roman" w:cs="Times New Roman"/>
        </w:rPr>
        <w:t xml:space="preserve"> dowodów co do udziału zarówno tej spółki jak i spółki Grande Vitae w tym samym konkursie winiarskim, a nawet uzyskanie nagród w tym konkursie przez obydwie spółki, nie było wystarczające do przyjęcia wiedzy o istnieniu znaku późniejszego. Nie było bowiem pewne czy obydwa podmioty brały udział we wręczeniu medali. Do tego, nawet gdyby przyjąć, że konkurs ten ma znaczący zasięg medialny, to samo w sobie nie może to świadczyć o rzeczywistej świadomości używania znaku widniejącego na produktach laureata przez profesjonalistów z sektora wina, a nawet przez innych uczestników konkursu, ponieważ oznaczałoby to domniemanie takiej rzeczywistej świadomości na podstawie dowodów dotyczącej ogólnej wiedzy w sektorze wina „Berliner Wine </w:t>
      </w:r>
      <w:proofErr w:type="spellStart"/>
      <w:r w:rsidRPr="00953F4F">
        <w:rPr>
          <w:rFonts w:ascii="Times New Roman" w:hAnsi="Times New Roman" w:cs="Times New Roman"/>
        </w:rPr>
        <w:t>Trophy</w:t>
      </w:r>
      <w:proofErr w:type="spellEnd"/>
      <w:r w:rsidRPr="00953F4F">
        <w:rPr>
          <w:rFonts w:ascii="Times New Roman" w:hAnsi="Times New Roman" w:cs="Times New Roman"/>
        </w:rPr>
        <w:t>”, co byłoby sprzeczne z orzecznictwem, z którego wynika, że domniemania w tym zakresie są niedopuszczalne</w:t>
      </w:r>
      <w:r w:rsidRPr="00953F4F">
        <w:rPr>
          <w:rStyle w:val="Odwoanieprzypisudolnego"/>
          <w:rFonts w:ascii="Times New Roman" w:hAnsi="Times New Roman" w:cs="Times New Roman"/>
        </w:rPr>
        <w:footnoteReference w:id="20"/>
      </w:r>
      <w:r w:rsidRPr="00953F4F">
        <w:rPr>
          <w:rFonts w:ascii="Times New Roman" w:hAnsi="Times New Roman" w:cs="Times New Roman"/>
        </w:rPr>
        <w:t xml:space="preserve">. </w:t>
      </w:r>
    </w:p>
    <w:p w14:paraId="07B56CDA" w14:textId="375346F9"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 xml:space="preserve">Podobnie, udział w tej samej edycji targów </w:t>
      </w:r>
      <w:proofErr w:type="spellStart"/>
      <w:r w:rsidRPr="00953F4F">
        <w:rPr>
          <w:rFonts w:ascii="Times New Roman" w:hAnsi="Times New Roman" w:cs="Times New Roman"/>
        </w:rPr>
        <w:t>Pro</w:t>
      </w:r>
      <w:r w:rsidR="009312AD">
        <w:rPr>
          <w:rFonts w:ascii="Times New Roman" w:hAnsi="Times New Roman" w:cs="Times New Roman"/>
        </w:rPr>
        <w:t>W</w:t>
      </w:r>
      <w:r w:rsidRPr="00953F4F">
        <w:rPr>
          <w:rFonts w:ascii="Times New Roman" w:hAnsi="Times New Roman" w:cs="Times New Roman"/>
        </w:rPr>
        <w:t>ein</w:t>
      </w:r>
      <w:proofErr w:type="spellEnd"/>
      <w:r w:rsidRPr="00953F4F">
        <w:rPr>
          <w:rFonts w:ascii="Times New Roman" w:hAnsi="Times New Roman" w:cs="Times New Roman"/>
        </w:rPr>
        <w:t xml:space="preserve"> nie jest, zdaniem Sądu UE, wystarczający do przyjęcia, że Grande Vitae rzeczywiście wiedziała o używaniu spornego znaku towarowego, ponieważ, szczególnie w przypadku „najważniejszych targów wina na świecie”, bardzo trudno jest zobaczyć i odwiedzić wszystkie stoiska innych wystawców i zobaczyć znaki towarowe pojawiające się na tych stoiskach</w:t>
      </w:r>
      <w:r w:rsidRPr="00953F4F">
        <w:rPr>
          <w:rStyle w:val="Odwoanieprzypisudolnego"/>
          <w:rFonts w:ascii="Times New Roman" w:hAnsi="Times New Roman" w:cs="Times New Roman"/>
        </w:rPr>
        <w:footnoteReference w:id="21"/>
      </w:r>
      <w:r w:rsidRPr="00953F4F">
        <w:rPr>
          <w:rFonts w:ascii="Times New Roman" w:hAnsi="Times New Roman" w:cs="Times New Roman"/>
        </w:rPr>
        <w:t xml:space="preserve">. </w:t>
      </w:r>
    </w:p>
    <w:p w14:paraId="561D95A6" w14:textId="19C8618E"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lastRenderedPageBreak/>
        <w:t xml:space="preserve">Dodatkowo, fakt, że wina </w:t>
      </w:r>
      <w:proofErr w:type="spellStart"/>
      <w:r w:rsidRPr="00953F4F">
        <w:rPr>
          <w:rFonts w:ascii="Times New Roman" w:hAnsi="Times New Roman" w:cs="Times New Roman"/>
        </w:rPr>
        <w:t>Vintae</w:t>
      </w:r>
      <w:proofErr w:type="spellEnd"/>
      <w:r w:rsidRPr="00953F4F">
        <w:rPr>
          <w:rFonts w:ascii="Times New Roman" w:hAnsi="Times New Roman" w:cs="Times New Roman"/>
        </w:rPr>
        <w:t xml:space="preserve"> </w:t>
      </w:r>
      <w:proofErr w:type="spellStart"/>
      <w:r w:rsidRPr="00953F4F">
        <w:rPr>
          <w:rFonts w:ascii="Times New Roman" w:hAnsi="Times New Roman" w:cs="Times New Roman"/>
        </w:rPr>
        <w:t>Luxury</w:t>
      </w:r>
      <w:proofErr w:type="spellEnd"/>
      <w:r w:rsidRPr="00953F4F">
        <w:rPr>
          <w:rFonts w:ascii="Times New Roman" w:hAnsi="Times New Roman" w:cs="Times New Roman"/>
        </w:rPr>
        <w:t xml:space="preserve"> zostały uwzględnione w ulotce dotyczącej konkursu „Best of </w:t>
      </w:r>
      <w:proofErr w:type="spellStart"/>
      <w:r w:rsidRPr="00953F4F">
        <w:rPr>
          <w:rFonts w:ascii="Times New Roman" w:hAnsi="Times New Roman" w:cs="Times New Roman"/>
        </w:rPr>
        <w:t>Spain</w:t>
      </w:r>
      <w:proofErr w:type="spellEnd"/>
      <w:r w:rsidRPr="00953F4F">
        <w:rPr>
          <w:rFonts w:ascii="Times New Roman" w:hAnsi="Times New Roman" w:cs="Times New Roman"/>
        </w:rPr>
        <w:t xml:space="preserve"> Top 100”, który odbył się podczas targów </w:t>
      </w:r>
      <w:proofErr w:type="spellStart"/>
      <w:r w:rsidRPr="00953F4F">
        <w:rPr>
          <w:rFonts w:ascii="Times New Roman" w:hAnsi="Times New Roman" w:cs="Times New Roman"/>
        </w:rPr>
        <w:t>Pro</w:t>
      </w:r>
      <w:r w:rsidR="009312AD">
        <w:rPr>
          <w:rFonts w:ascii="Times New Roman" w:hAnsi="Times New Roman" w:cs="Times New Roman"/>
        </w:rPr>
        <w:t>W</w:t>
      </w:r>
      <w:r w:rsidRPr="00953F4F">
        <w:rPr>
          <w:rFonts w:ascii="Times New Roman" w:hAnsi="Times New Roman" w:cs="Times New Roman"/>
        </w:rPr>
        <w:t>ein</w:t>
      </w:r>
      <w:proofErr w:type="spellEnd"/>
      <w:r w:rsidRPr="00953F4F">
        <w:rPr>
          <w:rFonts w:ascii="Times New Roman" w:hAnsi="Times New Roman" w:cs="Times New Roman"/>
        </w:rPr>
        <w:t xml:space="preserve">, w których uczestniczyły obydwa podmioty, również został uznany za niewystarczający, ponieważ nie ustalono, że Grande Vitae dowiedziała się o winach </w:t>
      </w:r>
      <w:proofErr w:type="spellStart"/>
      <w:r w:rsidRPr="00953F4F">
        <w:rPr>
          <w:rFonts w:ascii="Times New Roman" w:hAnsi="Times New Roman" w:cs="Times New Roman"/>
        </w:rPr>
        <w:t>Vintae</w:t>
      </w:r>
      <w:proofErr w:type="spellEnd"/>
      <w:r w:rsidRPr="00953F4F">
        <w:rPr>
          <w:rFonts w:ascii="Times New Roman" w:hAnsi="Times New Roman" w:cs="Times New Roman"/>
        </w:rPr>
        <w:t xml:space="preserve"> podczas tego konkursu. Takiej świadomości nie można bowiem domniemywać na podstawie ogólnej znajomości tego konkursu i listy jego laureatów w sektorze wina</w:t>
      </w:r>
      <w:r w:rsidRPr="00953F4F">
        <w:rPr>
          <w:rStyle w:val="Odwoanieprzypisudolnego"/>
          <w:rFonts w:ascii="Times New Roman" w:hAnsi="Times New Roman" w:cs="Times New Roman"/>
        </w:rPr>
        <w:footnoteReference w:id="22"/>
      </w:r>
      <w:r w:rsidRPr="00953F4F">
        <w:rPr>
          <w:rFonts w:ascii="Times New Roman" w:hAnsi="Times New Roman" w:cs="Times New Roman"/>
        </w:rPr>
        <w:t xml:space="preserve">. </w:t>
      </w:r>
    </w:p>
    <w:p w14:paraId="4802F2D2"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Podobnie, udział w tych samych edycjach konkursu „</w:t>
      </w:r>
      <w:proofErr w:type="spellStart"/>
      <w:r w:rsidRPr="00953F4F">
        <w:rPr>
          <w:rFonts w:ascii="Times New Roman" w:hAnsi="Times New Roman" w:cs="Times New Roman"/>
        </w:rPr>
        <w:t>Mundus</w:t>
      </w:r>
      <w:proofErr w:type="spellEnd"/>
      <w:r w:rsidRPr="00953F4F">
        <w:rPr>
          <w:rFonts w:ascii="Times New Roman" w:hAnsi="Times New Roman" w:cs="Times New Roman"/>
        </w:rPr>
        <w:t xml:space="preserve"> </w:t>
      </w:r>
      <w:proofErr w:type="spellStart"/>
      <w:r w:rsidRPr="00953F4F">
        <w:rPr>
          <w:rFonts w:ascii="Times New Roman" w:hAnsi="Times New Roman" w:cs="Times New Roman"/>
        </w:rPr>
        <w:t>Vini</w:t>
      </w:r>
      <w:proofErr w:type="spellEnd"/>
      <w:r w:rsidRPr="00953F4F">
        <w:rPr>
          <w:rFonts w:ascii="Times New Roman" w:hAnsi="Times New Roman" w:cs="Times New Roman"/>
        </w:rPr>
        <w:t>” nie był wystarczający do ustalenia faktycznej świadomości używania spornego znaku towarowego, z uwagi na, po pierwsze, dużą liczbę nagrodzonych win, po drugie, używanie oznaczenia „</w:t>
      </w:r>
      <w:proofErr w:type="spellStart"/>
      <w:r w:rsidRPr="00953F4F">
        <w:rPr>
          <w:rFonts w:ascii="Times New Roman" w:hAnsi="Times New Roman" w:cs="Times New Roman"/>
        </w:rPr>
        <w:t>vintae</w:t>
      </w:r>
      <w:proofErr w:type="spellEnd"/>
      <w:r w:rsidRPr="00953F4F">
        <w:rPr>
          <w:rFonts w:ascii="Times New Roman" w:hAnsi="Times New Roman" w:cs="Times New Roman"/>
        </w:rPr>
        <w:t>” jako firmy, a nie jako znaku towarowego na liście nagrodzonych win, oraz po trzecie, faktu, że nie udowodniono, iż interwenient widział butelki wina skarżącej opatrzone etykietą „</w:t>
      </w:r>
      <w:proofErr w:type="spellStart"/>
      <w:r w:rsidRPr="00953F4F">
        <w:rPr>
          <w:rFonts w:ascii="Times New Roman" w:hAnsi="Times New Roman" w:cs="Times New Roman"/>
        </w:rPr>
        <w:t>inspired</w:t>
      </w:r>
      <w:proofErr w:type="spellEnd"/>
      <w:r w:rsidRPr="00953F4F">
        <w:rPr>
          <w:rFonts w:ascii="Times New Roman" w:hAnsi="Times New Roman" w:cs="Times New Roman"/>
        </w:rPr>
        <w:t xml:space="preserve"> by </w:t>
      </w:r>
      <w:proofErr w:type="spellStart"/>
      <w:r w:rsidRPr="00953F4F">
        <w:rPr>
          <w:rFonts w:ascii="Times New Roman" w:hAnsi="Times New Roman" w:cs="Times New Roman"/>
        </w:rPr>
        <w:t>vintae</w:t>
      </w:r>
      <w:proofErr w:type="spellEnd"/>
      <w:r w:rsidRPr="00953F4F">
        <w:rPr>
          <w:rFonts w:ascii="Times New Roman" w:hAnsi="Times New Roman" w:cs="Times New Roman"/>
        </w:rPr>
        <w:t>” przed 27 lipca 2015 r</w:t>
      </w:r>
      <w:r w:rsidRPr="00953F4F">
        <w:rPr>
          <w:rStyle w:val="Odwoanieprzypisudolnego"/>
          <w:rFonts w:ascii="Times New Roman" w:hAnsi="Times New Roman" w:cs="Times New Roman"/>
        </w:rPr>
        <w:footnoteReference w:id="23"/>
      </w:r>
      <w:r w:rsidRPr="00953F4F">
        <w:rPr>
          <w:rFonts w:ascii="Times New Roman" w:hAnsi="Times New Roman" w:cs="Times New Roman"/>
        </w:rPr>
        <w:t>.</w:t>
      </w:r>
    </w:p>
    <w:p w14:paraId="342A433F" w14:textId="77777777" w:rsidR="0066095C" w:rsidRPr="00953F4F" w:rsidRDefault="0066095C" w:rsidP="0066095C">
      <w:pPr>
        <w:pStyle w:val="Akapitzlist"/>
        <w:numPr>
          <w:ilvl w:val="0"/>
          <w:numId w:val="1"/>
        </w:numPr>
        <w:spacing w:after="0" w:line="360" w:lineRule="auto"/>
        <w:ind w:left="567"/>
        <w:jc w:val="both"/>
        <w:rPr>
          <w:rFonts w:ascii="Times New Roman" w:hAnsi="Times New Roman" w:cs="Times New Roman"/>
          <w:b/>
          <w:bCs/>
        </w:rPr>
      </w:pPr>
      <w:r w:rsidRPr="00953F4F">
        <w:rPr>
          <w:rFonts w:ascii="Times New Roman" w:hAnsi="Times New Roman" w:cs="Times New Roman"/>
          <w:b/>
          <w:bCs/>
        </w:rPr>
        <w:t>Ocena stanowiska Sądu UE</w:t>
      </w:r>
    </w:p>
    <w:p w14:paraId="5462A360" w14:textId="77777777" w:rsidR="0066095C" w:rsidRPr="00953F4F" w:rsidRDefault="0066095C" w:rsidP="0066095C">
      <w:pPr>
        <w:spacing w:after="0" w:line="360" w:lineRule="auto"/>
        <w:ind w:firstLine="708"/>
        <w:jc w:val="both"/>
        <w:rPr>
          <w:rFonts w:ascii="Times New Roman" w:hAnsi="Times New Roman" w:cs="Times New Roman"/>
        </w:rPr>
      </w:pPr>
      <w:proofErr w:type="spellStart"/>
      <w:r w:rsidRPr="00953F4F">
        <w:rPr>
          <w:rFonts w:ascii="Times New Roman" w:hAnsi="Times New Roman" w:cs="Times New Roman"/>
        </w:rPr>
        <w:t>Glosowany</w:t>
      </w:r>
      <w:proofErr w:type="spellEnd"/>
      <w:r w:rsidRPr="00953F4F">
        <w:rPr>
          <w:rFonts w:ascii="Times New Roman" w:hAnsi="Times New Roman" w:cs="Times New Roman"/>
        </w:rPr>
        <w:t xml:space="preserve"> wyrok potwierdza, że próg wymagany do ustalenia wiedzy o używaniu znaku późniejszego, czyli jednej z przesłanek przyzwolenia (tolerowania), jest ustanowiony w orzecznictwie wysoko. Z wyroku jasno wynika, że same domniemania lub przypuszczenia w tym zakresie nie są wystarczające, niezależnie od tego, jak oczywiste mogłoby być używanie spornego znaku towarowego. Nie wystarczy bowiem ustalić, że właściciel wcześniejszego znaku mógł lub musiał być świadomy używania spornego znaku towarowego. Konieczne jest wykazanie faktycznej wiedzy w tym zakresie. Wymóg ten nie wydaje się przesadzonym, szczególnie biorąc pod uwagę, że chroni on uprawionych z praw wcześniejszych, co jest szczególnie istotne w przypadku podmiotów mniej profesjonalnych, które nie obserwują rynku</w:t>
      </w:r>
      <w:r w:rsidRPr="00953F4F">
        <w:rPr>
          <w:rStyle w:val="Odwoanieprzypisudolnego"/>
          <w:rFonts w:ascii="Times New Roman" w:hAnsi="Times New Roman" w:cs="Times New Roman"/>
        </w:rPr>
        <w:footnoteReference w:id="24"/>
      </w:r>
      <w:r w:rsidRPr="00953F4F">
        <w:rPr>
          <w:rFonts w:ascii="Times New Roman" w:hAnsi="Times New Roman" w:cs="Times New Roman"/>
        </w:rPr>
        <w:t xml:space="preserve"> lub działają z wykorzystaniem ograniczonych zasobów lub w ograniczonej geograficznie skali. Skoro bowiem tolerowanie musi być „w pełni świadome”, to domniemania, bez ustawienia odpowiednio wysokiego standardu dowodu, mogą pozostawiać w tym zakresie zbyt daleko idące wątpliwości.</w:t>
      </w:r>
    </w:p>
    <w:p w14:paraId="67226B65"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 xml:space="preserve">Nie należy jednak przy tym przyjmować, że świadomość używania późniejszego znaku towarowego może być wykazywana jedynie dowodami bezpośredniej wiedzy, takimi jak np. list ostrzegawczy skierowany do właściciela znaku późniejszego, w którym uprawniony do </w:t>
      </w:r>
      <w:r w:rsidRPr="00953F4F">
        <w:rPr>
          <w:rFonts w:ascii="Times New Roman" w:hAnsi="Times New Roman" w:cs="Times New Roman"/>
        </w:rPr>
        <w:lastRenderedPageBreak/>
        <w:t>znaku wcześniejszego odnosi się do problemu używania tego znaku</w:t>
      </w:r>
      <w:r w:rsidRPr="00953F4F">
        <w:rPr>
          <w:rStyle w:val="Odwoanieprzypisudolnego"/>
          <w:rFonts w:ascii="Times New Roman" w:hAnsi="Times New Roman" w:cs="Times New Roman"/>
        </w:rPr>
        <w:footnoteReference w:id="25"/>
      </w:r>
      <w:r w:rsidRPr="00953F4F">
        <w:rPr>
          <w:rFonts w:ascii="Times New Roman" w:hAnsi="Times New Roman" w:cs="Times New Roman"/>
        </w:rPr>
        <w:t xml:space="preserve">. M. </w:t>
      </w:r>
      <w:proofErr w:type="spellStart"/>
      <w:r w:rsidRPr="00953F4F">
        <w:rPr>
          <w:rFonts w:ascii="Times New Roman" w:hAnsi="Times New Roman" w:cs="Times New Roman"/>
        </w:rPr>
        <w:t>Bohaczewski</w:t>
      </w:r>
      <w:proofErr w:type="spellEnd"/>
      <w:r w:rsidRPr="00953F4F">
        <w:rPr>
          <w:rFonts w:ascii="Times New Roman" w:hAnsi="Times New Roman" w:cs="Times New Roman"/>
        </w:rPr>
        <w:t xml:space="preserve"> wskazuje w tym względzie, że w braku dowodów bezpośrednich uprawniony do znaku późniejszego może przedłożyć dowody „używania znaku świadczące o tym, że wnioskodawca nie mógł nie wiedzieć o tym używaniu, mając na uwadze właściwości danego sektora rynku i znaczący zakres używania”</w:t>
      </w:r>
      <w:r w:rsidRPr="00953F4F">
        <w:rPr>
          <w:rStyle w:val="Odwoanieprzypisudolnego"/>
          <w:rFonts w:ascii="Times New Roman" w:hAnsi="Times New Roman" w:cs="Times New Roman"/>
        </w:rPr>
        <w:footnoteReference w:id="26"/>
      </w:r>
      <w:r w:rsidRPr="00953F4F">
        <w:rPr>
          <w:rFonts w:ascii="Times New Roman" w:hAnsi="Times New Roman" w:cs="Times New Roman"/>
        </w:rPr>
        <w:t>. Wskazuje przy tym, że można w tym celu wziąć pod uwagę takie kryteria jak intensywne używanie pod względem ilościowym i geograficznym, działanie na wspólnym rynku, okoliczność bycia bezpośrednim konkurentem, uczestnictwo w tych samych targach handlowych, czy specyfikę danego rynku</w:t>
      </w:r>
      <w:r w:rsidRPr="00953F4F">
        <w:rPr>
          <w:rStyle w:val="Odwoanieprzypisudolnego"/>
          <w:rFonts w:ascii="Times New Roman" w:hAnsi="Times New Roman" w:cs="Times New Roman"/>
        </w:rPr>
        <w:footnoteReference w:id="27"/>
      </w:r>
      <w:r w:rsidRPr="00953F4F">
        <w:rPr>
          <w:rFonts w:ascii="Times New Roman" w:hAnsi="Times New Roman" w:cs="Times New Roman"/>
        </w:rPr>
        <w:t>. Podobnie, I. Czernik wskazuje, że „wiedza oznacza wiedzę pozytywną, ale z brzmienia normy nie można wywnioskować, że pojęcie wiedzy ogranicza się wyłącznie do tego”. Powołuje się w tym względzie na wytyczne EUIPO, które mają pozwalać uznać za wystarczające racjonalne założenie wiedzy, na przykład jeśli obaj właściciele wystawiali towary lub usługi pod swoimi znakami towarowymi podczas tego samego wydarzenia</w:t>
      </w:r>
      <w:r w:rsidRPr="00953F4F">
        <w:rPr>
          <w:rStyle w:val="Odwoanieprzypisudolnego"/>
          <w:rFonts w:ascii="Times New Roman" w:hAnsi="Times New Roman" w:cs="Times New Roman"/>
        </w:rPr>
        <w:footnoteReference w:id="28"/>
      </w:r>
      <w:r w:rsidRPr="00953F4F">
        <w:rPr>
          <w:rFonts w:ascii="Times New Roman" w:hAnsi="Times New Roman" w:cs="Times New Roman"/>
        </w:rPr>
        <w:t>.</w:t>
      </w:r>
    </w:p>
    <w:p w14:paraId="2E7EF382"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 xml:space="preserve">To podejście wydaje się bardziej liberalne niż podejście Sądu UE przedstawione w głosowanym orzeczeniu, z którego wynika m.in., że niedopuszczalne jest przenoszenie standardu dowodu określonego na gruncie złej wiary, który zezwala na domniemanie wiedzy o używaniu znaku z powszechnej wiedzy w danym sektorze gospodarczym, a wiedza ta może </w:t>
      </w:r>
      <w:r w:rsidRPr="00953F4F">
        <w:rPr>
          <w:rFonts w:ascii="Times New Roman" w:hAnsi="Times New Roman" w:cs="Times New Roman"/>
        </w:rPr>
        <w:lastRenderedPageBreak/>
        <w:t>wynikać między innymi z czasu trwania takiego używania</w:t>
      </w:r>
      <w:r w:rsidRPr="00953F4F">
        <w:rPr>
          <w:rStyle w:val="Odwoanieprzypisudolnego"/>
          <w:rFonts w:ascii="Times New Roman" w:hAnsi="Times New Roman" w:cs="Times New Roman"/>
        </w:rPr>
        <w:footnoteReference w:id="29"/>
      </w:r>
      <w:r w:rsidRPr="00953F4F">
        <w:rPr>
          <w:rFonts w:ascii="Times New Roman" w:hAnsi="Times New Roman" w:cs="Times New Roman"/>
        </w:rPr>
        <w:t xml:space="preserve">. Przy tym sam M. </w:t>
      </w:r>
      <w:proofErr w:type="spellStart"/>
      <w:r w:rsidRPr="00953F4F">
        <w:rPr>
          <w:rFonts w:ascii="Times New Roman" w:hAnsi="Times New Roman" w:cs="Times New Roman"/>
        </w:rPr>
        <w:t>Bohaczewski</w:t>
      </w:r>
      <w:proofErr w:type="spellEnd"/>
      <w:r w:rsidRPr="00953F4F">
        <w:rPr>
          <w:rFonts w:ascii="Times New Roman" w:hAnsi="Times New Roman" w:cs="Times New Roman"/>
        </w:rPr>
        <w:t xml:space="preserve"> wskazuje w dalszej części powołanego tekstu, że wymogi dowodowe na gruncie przyzwolenia (tolerowania) są niższe niż wymogi dowodowe na gruncie przepisów dotyczących zgłoszenia znaku towarowego w złej wiarze „na tle których TS akceptuje przyjęcie domniemania znajomości przez zgłaszającego faktu, że osoba trzecia używa oznaczenia, które może wynikać »w szczególności z ogólnej znajomości w odnośnym sektorze gospodarczym faktu takiego używania, przy czym o takiej znajomości można wnioskować zwłaszcza na podstawie czasu trwania takiego używania«”</w:t>
      </w:r>
      <w:r w:rsidRPr="00953F4F">
        <w:rPr>
          <w:rStyle w:val="Odwoanieprzypisudolnego"/>
          <w:rFonts w:ascii="Times New Roman" w:hAnsi="Times New Roman" w:cs="Times New Roman"/>
        </w:rPr>
        <w:footnoteReference w:id="30"/>
      </w:r>
      <w:r w:rsidRPr="00953F4F">
        <w:rPr>
          <w:rFonts w:ascii="Times New Roman" w:hAnsi="Times New Roman" w:cs="Times New Roman"/>
        </w:rPr>
        <w:t>. Wskazuje też wprost, że wykładnia przepisów o złej wierze nie jest stosowana na gruncie przepisów o tolerowaniu</w:t>
      </w:r>
      <w:r w:rsidRPr="00953F4F">
        <w:rPr>
          <w:rStyle w:val="Odwoanieprzypisudolnego"/>
          <w:rFonts w:ascii="Times New Roman" w:hAnsi="Times New Roman" w:cs="Times New Roman"/>
        </w:rPr>
        <w:footnoteReference w:id="31"/>
      </w:r>
      <w:r w:rsidRPr="00953F4F">
        <w:rPr>
          <w:rFonts w:ascii="Times New Roman" w:hAnsi="Times New Roman" w:cs="Times New Roman"/>
        </w:rPr>
        <w:t>. Skoro zatem standard dowodu odnoszący się do złej wiary jest określany jako zbyt niski na gruncie przepisów o przyzwoleniu, a jego istotą jest możliwość domniemania z ogólnej znajomości w sektorze gospodarczym, zwłaszcza na podstawie czasu używania, to akceptując takie stanowisko nie można do kwestii domniemań i założeń na gruncie przyzwolenia (tolerowania) podchodzić zbyt liberalnie. Wynika to również wyraźnie z orzecznictwa przytoczonego w punkcie trzecim niniejszego tekstu</w:t>
      </w:r>
      <w:r w:rsidRPr="00953F4F">
        <w:rPr>
          <w:rStyle w:val="Odwoanieprzypisudolnego"/>
          <w:rFonts w:ascii="Times New Roman" w:hAnsi="Times New Roman" w:cs="Times New Roman"/>
        </w:rPr>
        <w:footnoteReference w:id="32"/>
      </w:r>
      <w:r w:rsidRPr="00953F4F">
        <w:rPr>
          <w:rFonts w:ascii="Times New Roman" w:hAnsi="Times New Roman" w:cs="Times New Roman"/>
        </w:rPr>
        <w:t>. Potwierdza to również zmiana stanowiska w wytycznych EUIPO, o której mowa powyżej.</w:t>
      </w:r>
    </w:p>
    <w:p w14:paraId="575098B1"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 xml:space="preserve">Skoro domniemanie z powszechnej wiedzy w danym sektorze gospodarczym jest niedopuszczalne, to czynniki takie jak intensywne używanie oznaczenia późniejszego pod względem ilościowym i geograficznym, działanie na wspólnym rynku, okoliczność bycia bezpośrednim konkurentem, muszą tym bardziej być stosowane bardzo ostrożnie. Duże natężenie ilościowe i geograficzne może choćby odbywać się w kanałach dystrybucji, w których właściciel znaku wcześniejszego jest nieobecny (np. na aukcjach internetowych), nawet w okolicznościach bezpośredniej konkurencji produktowej. Tak samo nawet bardzo długie używanie znaku późniejszego może nie zostać zauważone przez właściciela znaku wcześniejszego. Podobnie, uczestnictwo w tych samych targach również samo w sobie nie musi oznaczać wiedzy o znaku późniejszym, szczególnie podczas większych targów produktów stosunkowo powszechnych. Inaczej mogłoby być np. na targach towarów specjalistycznych lub kupowanych stosunkowo rzadko, z niewielką ilością wystawców, choć i tutaj wszystko zależy od okoliczności konkretnego stanu faktycznego. A zatem, nawet kumulacja tych czynników </w:t>
      </w:r>
      <w:r w:rsidRPr="00953F4F">
        <w:rPr>
          <w:rFonts w:ascii="Times New Roman" w:hAnsi="Times New Roman" w:cs="Times New Roman"/>
        </w:rPr>
        <w:lastRenderedPageBreak/>
        <w:t xml:space="preserve">często może nie prowadzić do wniosku „bez żadnej ewentualnej wątpliwości”, że uprawniony do znaku wcześniejszego wiedział o znaku późniejszym. </w:t>
      </w:r>
    </w:p>
    <w:p w14:paraId="49FEAFAB" w14:textId="77777777" w:rsidR="0066095C" w:rsidRPr="00953F4F" w:rsidRDefault="0066095C" w:rsidP="0066095C">
      <w:pPr>
        <w:spacing w:after="0" w:line="360" w:lineRule="auto"/>
        <w:ind w:firstLine="708"/>
        <w:jc w:val="both"/>
        <w:rPr>
          <w:rFonts w:ascii="Times New Roman" w:hAnsi="Times New Roman" w:cs="Times New Roman"/>
        </w:rPr>
      </w:pPr>
      <w:r w:rsidRPr="00953F4F">
        <w:rPr>
          <w:rFonts w:ascii="Times New Roman" w:hAnsi="Times New Roman" w:cs="Times New Roman"/>
        </w:rPr>
        <w:t>Z drugiej strony standardu dowodu na gruncie przepisów o przyzwoleniu nie należy ustanawiać przesadnie wysoko, w szczególności, jak już wspomniano, ograniczając się do akceptacji dowodów bezpośrednich</w:t>
      </w:r>
      <w:r w:rsidRPr="00953F4F">
        <w:rPr>
          <w:rStyle w:val="Odwoanieprzypisudolnego"/>
          <w:rFonts w:ascii="Times New Roman" w:hAnsi="Times New Roman" w:cs="Times New Roman"/>
        </w:rPr>
        <w:footnoteReference w:id="33"/>
      </w:r>
      <w:r w:rsidRPr="00953F4F">
        <w:rPr>
          <w:rFonts w:ascii="Times New Roman" w:hAnsi="Times New Roman" w:cs="Times New Roman"/>
        </w:rPr>
        <w:t>. Należy przyjąć, że dopuszczalne jest wnioskowanie z dowodów pośrednich, jednak przyjęcie założenia co do istnienia wiedzy o używaniu znaku późniejszego musi być dokonywane „bez żadnej ewentualnej wątpliwości”</w:t>
      </w:r>
      <w:r w:rsidRPr="00953F4F">
        <w:rPr>
          <w:rStyle w:val="Odwoanieprzypisudolnego"/>
          <w:rFonts w:ascii="Times New Roman" w:hAnsi="Times New Roman" w:cs="Times New Roman"/>
        </w:rPr>
        <w:footnoteReference w:id="34"/>
      </w:r>
      <w:r w:rsidRPr="00953F4F">
        <w:rPr>
          <w:rFonts w:ascii="Times New Roman" w:hAnsi="Times New Roman" w:cs="Times New Roman"/>
        </w:rPr>
        <w:t>. Zbyt restrykcyjne podejście mogłoby bowiem pozwalać uprawnionym do znaków wcześniejszych na celowe „unikanie” wiedzy o używaniu znaku późniejszego wyłącznie, ażeby odłożyć w czasie rozpoczęcie biegu terminu przedawnienia związanego z przyzwoleniem</w:t>
      </w:r>
      <w:r w:rsidRPr="00953F4F">
        <w:rPr>
          <w:rStyle w:val="Odwoanieprzypisudolnego"/>
          <w:rFonts w:ascii="Times New Roman" w:hAnsi="Times New Roman" w:cs="Times New Roman"/>
        </w:rPr>
        <w:footnoteReference w:id="35"/>
      </w:r>
      <w:r w:rsidRPr="00953F4F">
        <w:rPr>
          <w:rFonts w:ascii="Times New Roman" w:hAnsi="Times New Roman" w:cs="Times New Roman"/>
        </w:rPr>
        <w:t>. Podejście to mogłoby również czynić wykazanie tego kryterium zbyt utrudnionym, mając na uwadze pewność prawa</w:t>
      </w:r>
      <w:r w:rsidRPr="00953F4F">
        <w:rPr>
          <w:rStyle w:val="Odwoanieprzypisudolnego"/>
          <w:rFonts w:ascii="Times New Roman" w:hAnsi="Times New Roman" w:cs="Times New Roman"/>
        </w:rPr>
        <w:footnoteReference w:id="36"/>
      </w:r>
      <w:r w:rsidRPr="00953F4F">
        <w:rPr>
          <w:rFonts w:ascii="Times New Roman" w:hAnsi="Times New Roman" w:cs="Times New Roman"/>
        </w:rPr>
        <w:t xml:space="preserve">, a także dostrzeżenie interesu właściciela znaku późniejszego, na który nie można pozostać obojętnym, szczególnie w okolicznościach długotrwałego i intensywnego używania tego znaku, zbudowania jego określonej pozycji rynkowej, poczynienia inwestycji w jego promocję, budowy jego niezależnej rozpoznawalności wśród odbiorców, a także pozostawanie w dobrej wierze. </w:t>
      </w:r>
    </w:p>
    <w:p w14:paraId="4AA60624" w14:textId="362B52C5" w:rsidR="0066095C" w:rsidRPr="00953F4F" w:rsidRDefault="0066095C" w:rsidP="0066095C">
      <w:pPr>
        <w:spacing w:after="0" w:line="360" w:lineRule="auto"/>
        <w:ind w:firstLine="708"/>
        <w:jc w:val="both"/>
        <w:rPr>
          <w:rFonts w:ascii="Times New Roman" w:hAnsi="Times New Roman" w:cs="Times New Roman"/>
        </w:rPr>
      </w:pPr>
      <w:proofErr w:type="spellStart"/>
      <w:r w:rsidRPr="00953F4F">
        <w:rPr>
          <w:rFonts w:ascii="Times New Roman" w:hAnsi="Times New Roman" w:cs="Times New Roman"/>
        </w:rPr>
        <w:t>Glosowane</w:t>
      </w:r>
      <w:proofErr w:type="spellEnd"/>
      <w:r w:rsidRPr="00953F4F">
        <w:rPr>
          <w:rFonts w:ascii="Times New Roman" w:hAnsi="Times New Roman" w:cs="Times New Roman"/>
        </w:rPr>
        <w:t xml:space="preserve"> orzeczenie, ustanawiając wysoki standard dowodu w zakresie przyzwolenia (tolerowania), jest istotne przede wszystkim z perspektywy właściciela znaku późniejszego. W warunkach istnienia wcześniejszego kolizyjnego znaku towarowego jest on bowiem obarczony ryzykiem unieważnienia własnego zarejestrowanego znaku towarowego, nawet po wielu latach, nierzadko względnie intensywnego używania tego znaku oraz mimo uzyskania ważnego prawa do tego znaku. Może to prowadzić nie tylko do konieczności przeprowadzenia kosztownego rebrandingu i zniweczenia dotychczasowych wysiłków i nakładów marketingowych, ale także, w skrajnych przypadkach, do uznania zasadności roszczeń pieniężnych właściciela znaku wcześniejszego. Obrazuje to dobrze konieczność przeprowadzania każdorazowego i dokładnego badania znaku towarowego pod kątem kolizji z prawami wcześniejszymi, przed wprowadzeniem produktów lub usług pod tym znakiem na rynek. Właściciele znaków wcześniejszych niestety bowiem często decydują się na podjęcie </w:t>
      </w:r>
      <w:r w:rsidRPr="00953F4F">
        <w:rPr>
          <w:rFonts w:ascii="Times New Roman" w:hAnsi="Times New Roman" w:cs="Times New Roman"/>
        </w:rPr>
        <w:lastRenderedPageBreak/>
        <w:t xml:space="preserve">działań przeciwko znakowi późniejszemu dopiero w momencie odniesienia pewnego sukcesu rynkowego przez właściciela znaku późniejszego. Wysoki standard dowodu płynący z </w:t>
      </w:r>
      <w:proofErr w:type="spellStart"/>
      <w:r w:rsidRPr="00953F4F">
        <w:rPr>
          <w:rFonts w:ascii="Times New Roman" w:hAnsi="Times New Roman" w:cs="Times New Roman"/>
        </w:rPr>
        <w:t>glosowanego</w:t>
      </w:r>
      <w:proofErr w:type="spellEnd"/>
      <w:r w:rsidRPr="00953F4F">
        <w:rPr>
          <w:rFonts w:ascii="Times New Roman" w:hAnsi="Times New Roman" w:cs="Times New Roman"/>
        </w:rPr>
        <w:t xml:space="preserve"> orzeczenia w pewnym sensie ułatwia taką praktykę, która nie zawsze jest zgodna z poczuciem sprawiedliwości</w:t>
      </w:r>
      <w:r w:rsidRPr="002912D4">
        <w:rPr>
          <w:rFonts w:ascii="Times New Roman" w:hAnsi="Times New Roman" w:cs="Times New Roman"/>
        </w:rPr>
        <w:t xml:space="preserve">. Z tego względu </w:t>
      </w:r>
      <w:r w:rsidR="002912D4" w:rsidRPr="002912D4">
        <w:rPr>
          <w:rFonts w:ascii="Times New Roman" w:hAnsi="Times New Roman" w:cs="Times New Roman"/>
        </w:rPr>
        <w:t>domniemań</w:t>
      </w:r>
      <w:r w:rsidRPr="002912D4">
        <w:rPr>
          <w:rFonts w:ascii="Times New Roman" w:hAnsi="Times New Roman" w:cs="Times New Roman"/>
        </w:rPr>
        <w:t xml:space="preserve"> w tym obszarze nie należy wykluczać, jednak należy do nich podchodzić bardzo ostrożnie.</w:t>
      </w:r>
    </w:p>
    <w:p w14:paraId="5E4676CE" w14:textId="77777777" w:rsidR="0066095C" w:rsidRPr="00953F4F" w:rsidRDefault="0066095C" w:rsidP="0066095C">
      <w:pPr>
        <w:spacing w:after="0" w:line="360" w:lineRule="auto"/>
        <w:jc w:val="both"/>
        <w:rPr>
          <w:rFonts w:ascii="Times New Roman" w:hAnsi="Times New Roman" w:cs="Times New Roman"/>
        </w:rPr>
      </w:pPr>
    </w:p>
    <w:bookmarkEnd w:id="2"/>
    <w:p w14:paraId="5048B3F9" w14:textId="77777777" w:rsidR="0066095C" w:rsidRPr="00953F4F" w:rsidRDefault="0066095C" w:rsidP="0066095C">
      <w:pPr>
        <w:rPr>
          <w:rFonts w:ascii="Times New Roman" w:hAnsi="Times New Roman" w:cs="Times New Roman"/>
        </w:rPr>
      </w:pPr>
      <w:r w:rsidRPr="00953F4F">
        <w:rPr>
          <w:rFonts w:ascii="Times New Roman" w:hAnsi="Times New Roman" w:cs="Times New Roman"/>
        </w:rPr>
        <w:br w:type="page"/>
      </w:r>
    </w:p>
    <w:p w14:paraId="102D29F5" w14:textId="77777777" w:rsidR="0066095C" w:rsidRPr="00953F4F" w:rsidRDefault="0066095C" w:rsidP="0066095C">
      <w:pPr>
        <w:spacing w:after="120"/>
        <w:jc w:val="both"/>
        <w:rPr>
          <w:rFonts w:ascii="Times New Roman" w:hAnsi="Times New Roman" w:cs="Times New Roman"/>
          <w:b/>
          <w:bCs/>
        </w:rPr>
      </w:pPr>
      <w:r w:rsidRPr="00953F4F">
        <w:rPr>
          <w:rFonts w:ascii="Times New Roman" w:hAnsi="Times New Roman" w:cs="Times New Roman"/>
          <w:b/>
          <w:bCs/>
        </w:rPr>
        <w:lastRenderedPageBreak/>
        <w:t>Literatura:</w:t>
      </w:r>
    </w:p>
    <w:p w14:paraId="2FAF4EF5" w14:textId="77777777" w:rsidR="0066095C" w:rsidRPr="00953F4F" w:rsidRDefault="0066095C" w:rsidP="0066095C">
      <w:pPr>
        <w:pStyle w:val="Tekstprzypisudolnego"/>
        <w:spacing w:after="120"/>
        <w:jc w:val="both"/>
        <w:rPr>
          <w:rFonts w:ascii="Times New Roman" w:hAnsi="Times New Roman" w:cs="Times New Roman"/>
          <w:sz w:val="24"/>
          <w:szCs w:val="24"/>
        </w:rPr>
      </w:pPr>
      <w:proofErr w:type="spellStart"/>
      <w:r w:rsidRPr="00953F4F">
        <w:rPr>
          <w:rFonts w:ascii="Times New Roman" w:hAnsi="Times New Roman" w:cs="Times New Roman"/>
          <w:sz w:val="24"/>
          <w:szCs w:val="24"/>
        </w:rPr>
        <w:t>Bohaczewski</w:t>
      </w:r>
      <w:proofErr w:type="spellEnd"/>
      <w:r w:rsidRPr="00953F4F">
        <w:rPr>
          <w:rFonts w:ascii="Times New Roman" w:hAnsi="Times New Roman" w:cs="Times New Roman"/>
          <w:sz w:val="24"/>
          <w:szCs w:val="24"/>
        </w:rPr>
        <w:t xml:space="preserve"> M. [w:] </w:t>
      </w:r>
      <w:r w:rsidRPr="00953F4F">
        <w:rPr>
          <w:rFonts w:ascii="Times New Roman" w:hAnsi="Times New Roman" w:cs="Times New Roman"/>
          <w:i/>
          <w:iCs/>
          <w:sz w:val="24"/>
          <w:szCs w:val="24"/>
        </w:rPr>
        <w:t xml:space="preserve">Komentarze Prawa Prywatnego, </w:t>
      </w:r>
      <w:r w:rsidRPr="00953F4F">
        <w:rPr>
          <w:rFonts w:ascii="Times New Roman" w:hAnsi="Times New Roman" w:cs="Times New Roman"/>
          <w:sz w:val="24"/>
          <w:szCs w:val="24"/>
        </w:rPr>
        <w:t xml:space="preserve">t. VIIIB, </w:t>
      </w:r>
      <w:r w:rsidRPr="00953F4F">
        <w:rPr>
          <w:rFonts w:ascii="Times New Roman" w:hAnsi="Times New Roman" w:cs="Times New Roman"/>
          <w:i/>
          <w:iCs/>
          <w:sz w:val="24"/>
          <w:szCs w:val="24"/>
        </w:rPr>
        <w:t>Prawo własności przemysłowej. Komentarz</w:t>
      </w:r>
      <w:r w:rsidRPr="00953F4F">
        <w:rPr>
          <w:rFonts w:ascii="Times New Roman" w:hAnsi="Times New Roman" w:cs="Times New Roman"/>
          <w:sz w:val="24"/>
          <w:szCs w:val="24"/>
        </w:rPr>
        <w:t xml:space="preserve">, red. Ł. Żelechowski, Warszawa 2021 </w:t>
      </w:r>
    </w:p>
    <w:p w14:paraId="7374D442" w14:textId="77777777" w:rsidR="0066095C" w:rsidRPr="009312AD" w:rsidRDefault="0066095C" w:rsidP="0066095C">
      <w:pPr>
        <w:pStyle w:val="Tekstprzypisudolnego"/>
        <w:spacing w:after="120"/>
        <w:jc w:val="both"/>
        <w:rPr>
          <w:rFonts w:ascii="Times New Roman" w:hAnsi="Times New Roman" w:cs="Times New Roman"/>
          <w:sz w:val="24"/>
          <w:szCs w:val="24"/>
        </w:rPr>
      </w:pPr>
      <w:r w:rsidRPr="00966CCD">
        <w:rPr>
          <w:rFonts w:ascii="Times New Roman" w:hAnsi="Times New Roman" w:cs="Times New Roman"/>
          <w:sz w:val="24"/>
          <w:szCs w:val="24"/>
        </w:rPr>
        <w:t xml:space="preserve">Czernik I., [w:] </w:t>
      </w:r>
      <w:r w:rsidRPr="00966CCD">
        <w:rPr>
          <w:rFonts w:ascii="Times New Roman" w:hAnsi="Times New Roman" w:cs="Times New Roman"/>
          <w:i/>
          <w:iCs/>
          <w:sz w:val="24"/>
          <w:szCs w:val="24"/>
        </w:rPr>
        <w:t xml:space="preserve">EU Trade Mark </w:t>
      </w:r>
      <w:proofErr w:type="spellStart"/>
      <w:r w:rsidRPr="00966CCD">
        <w:rPr>
          <w:rFonts w:ascii="Times New Roman" w:hAnsi="Times New Roman" w:cs="Times New Roman"/>
          <w:i/>
          <w:iCs/>
          <w:sz w:val="24"/>
          <w:szCs w:val="24"/>
        </w:rPr>
        <w:t>Regulation</w:t>
      </w:r>
      <w:proofErr w:type="spellEnd"/>
      <w:r w:rsidRPr="00966CCD">
        <w:rPr>
          <w:rFonts w:ascii="Times New Roman" w:hAnsi="Times New Roman" w:cs="Times New Roman"/>
          <w:i/>
          <w:iCs/>
          <w:sz w:val="24"/>
          <w:szCs w:val="24"/>
        </w:rPr>
        <w:t xml:space="preserve"> (EUTMR). </w:t>
      </w:r>
      <w:proofErr w:type="spellStart"/>
      <w:r w:rsidRPr="009312AD">
        <w:rPr>
          <w:rFonts w:ascii="Times New Roman" w:hAnsi="Times New Roman" w:cs="Times New Roman"/>
          <w:i/>
          <w:iCs/>
          <w:sz w:val="24"/>
          <w:szCs w:val="24"/>
        </w:rPr>
        <w:t>Brussels</w:t>
      </w:r>
      <w:proofErr w:type="spellEnd"/>
      <w:r w:rsidRPr="009312AD">
        <w:rPr>
          <w:rFonts w:ascii="Times New Roman" w:hAnsi="Times New Roman" w:cs="Times New Roman"/>
          <w:i/>
          <w:iCs/>
          <w:sz w:val="24"/>
          <w:szCs w:val="24"/>
        </w:rPr>
        <w:t xml:space="preserve"> </w:t>
      </w:r>
      <w:proofErr w:type="spellStart"/>
      <w:r w:rsidRPr="009312AD">
        <w:rPr>
          <w:rFonts w:ascii="Times New Roman" w:hAnsi="Times New Roman" w:cs="Times New Roman"/>
          <w:i/>
          <w:iCs/>
          <w:sz w:val="24"/>
          <w:szCs w:val="24"/>
        </w:rPr>
        <w:t>Commentary</w:t>
      </w:r>
      <w:proofErr w:type="spellEnd"/>
      <w:r w:rsidRPr="009312AD">
        <w:rPr>
          <w:rFonts w:ascii="Times New Roman" w:hAnsi="Times New Roman" w:cs="Times New Roman"/>
          <w:sz w:val="24"/>
          <w:szCs w:val="24"/>
        </w:rPr>
        <w:t xml:space="preserve">, red. Hildebrandt U., </w:t>
      </w:r>
      <w:proofErr w:type="spellStart"/>
      <w:r w:rsidRPr="009312AD">
        <w:rPr>
          <w:rFonts w:ascii="Times New Roman" w:hAnsi="Times New Roman" w:cs="Times New Roman"/>
          <w:sz w:val="24"/>
          <w:szCs w:val="24"/>
        </w:rPr>
        <w:t>Sosnitza</w:t>
      </w:r>
      <w:proofErr w:type="spellEnd"/>
      <w:r w:rsidRPr="009312AD">
        <w:rPr>
          <w:rFonts w:ascii="Times New Roman" w:hAnsi="Times New Roman" w:cs="Times New Roman"/>
          <w:sz w:val="24"/>
          <w:szCs w:val="24"/>
        </w:rPr>
        <w:t xml:space="preserve"> O., Monachium 2023</w:t>
      </w:r>
    </w:p>
    <w:p w14:paraId="63FFDE36" w14:textId="77777777" w:rsidR="0066095C" w:rsidRPr="00953F4F" w:rsidRDefault="0066095C" w:rsidP="0066095C">
      <w:pPr>
        <w:pStyle w:val="Tekstprzypisudolnego"/>
        <w:spacing w:after="120"/>
        <w:jc w:val="both"/>
        <w:rPr>
          <w:rFonts w:ascii="Times New Roman" w:hAnsi="Times New Roman" w:cs="Times New Roman"/>
          <w:sz w:val="24"/>
          <w:szCs w:val="24"/>
        </w:rPr>
      </w:pPr>
      <w:r w:rsidRPr="009312AD">
        <w:rPr>
          <w:rFonts w:ascii="Times New Roman" w:hAnsi="Times New Roman" w:cs="Times New Roman"/>
          <w:sz w:val="24"/>
          <w:szCs w:val="24"/>
        </w:rPr>
        <w:t xml:space="preserve">Kur A., </w:t>
      </w:r>
      <w:proofErr w:type="spellStart"/>
      <w:r w:rsidRPr="009312AD">
        <w:rPr>
          <w:rFonts w:ascii="Times New Roman" w:hAnsi="Times New Roman" w:cs="Times New Roman"/>
          <w:sz w:val="24"/>
          <w:szCs w:val="24"/>
        </w:rPr>
        <w:t>Senftleben</w:t>
      </w:r>
      <w:proofErr w:type="spellEnd"/>
      <w:r w:rsidRPr="009312AD">
        <w:rPr>
          <w:rFonts w:ascii="Times New Roman" w:hAnsi="Times New Roman" w:cs="Times New Roman"/>
          <w:sz w:val="24"/>
          <w:szCs w:val="24"/>
        </w:rPr>
        <w:t xml:space="preserve"> M., [w:] Kur A., </w:t>
      </w:r>
      <w:proofErr w:type="spellStart"/>
      <w:r w:rsidRPr="009312AD">
        <w:rPr>
          <w:rFonts w:ascii="Times New Roman" w:hAnsi="Times New Roman" w:cs="Times New Roman"/>
          <w:sz w:val="24"/>
          <w:szCs w:val="24"/>
        </w:rPr>
        <w:t>Senftleben</w:t>
      </w:r>
      <w:proofErr w:type="spellEnd"/>
      <w:r w:rsidRPr="009312AD">
        <w:rPr>
          <w:rFonts w:ascii="Times New Roman" w:hAnsi="Times New Roman" w:cs="Times New Roman"/>
          <w:sz w:val="24"/>
          <w:szCs w:val="24"/>
        </w:rPr>
        <w:t xml:space="preserve"> M., </w:t>
      </w:r>
      <w:proofErr w:type="spellStart"/>
      <w:r w:rsidRPr="009312AD">
        <w:rPr>
          <w:rFonts w:ascii="Times New Roman" w:hAnsi="Times New Roman" w:cs="Times New Roman"/>
          <w:i/>
          <w:iCs/>
          <w:sz w:val="24"/>
          <w:szCs w:val="24"/>
        </w:rPr>
        <w:t>European</w:t>
      </w:r>
      <w:proofErr w:type="spellEnd"/>
      <w:r w:rsidRPr="009312AD">
        <w:rPr>
          <w:rFonts w:ascii="Times New Roman" w:hAnsi="Times New Roman" w:cs="Times New Roman"/>
          <w:i/>
          <w:iCs/>
          <w:sz w:val="24"/>
          <w:szCs w:val="24"/>
        </w:rPr>
        <w:t xml:space="preserve"> Trade Mark Law. </w:t>
      </w:r>
      <w:r w:rsidRPr="00953F4F">
        <w:rPr>
          <w:rFonts w:ascii="Times New Roman" w:hAnsi="Times New Roman" w:cs="Times New Roman"/>
          <w:i/>
          <w:iCs/>
          <w:sz w:val="24"/>
          <w:szCs w:val="24"/>
        </w:rPr>
        <w:t xml:space="preserve">A </w:t>
      </w:r>
      <w:proofErr w:type="spellStart"/>
      <w:r w:rsidRPr="00953F4F">
        <w:rPr>
          <w:rFonts w:ascii="Times New Roman" w:hAnsi="Times New Roman" w:cs="Times New Roman"/>
          <w:i/>
          <w:iCs/>
          <w:sz w:val="24"/>
          <w:szCs w:val="24"/>
        </w:rPr>
        <w:t>Commentary</w:t>
      </w:r>
      <w:proofErr w:type="spellEnd"/>
      <w:r w:rsidRPr="00953F4F">
        <w:rPr>
          <w:rFonts w:ascii="Times New Roman" w:hAnsi="Times New Roman" w:cs="Times New Roman"/>
          <w:sz w:val="24"/>
          <w:szCs w:val="24"/>
        </w:rPr>
        <w:t xml:space="preserve">, Oksford 2017 </w:t>
      </w:r>
    </w:p>
    <w:p w14:paraId="69FCAFBB" w14:textId="77777777" w:rsidR="0066095C" w:rsidRPr="00953F4F" w:rsidRDefault="0066095C" w:rsidP="0066095C">
      <w:pPr>
        <w:spacing w:after="120"/>
        <w:ind w:left="720" w:hanging="360"/>
        <w:jc w:val="both"/>
        <w:rPr>
          <w:rFonts w:ascii="Times New Roman" w:hAnsi="Times New Roman" w:cs="Times New Roman"/>
        </w:rPr>
      </w:pPr>
    </w:p>
    <w:p w14:paraId="1DEE8B47" w14:textId="77777777" w:rsidR="0066095C" w:rsidRPr="00953F4F" w:rsidRDefault="0066095C" w:rsidP="0066095C">
      <w:pPr>
        <w:spacing w:after="120"/>
        <w:ind w:hanging="11"/>
        <w:jc w:val="both"/>
        <w:rPr>
          <w:rFonts w:ascii="Times New Roman" w:hAnsi="Times New Roman" w:cs="Times New Roman"/>
          <w:b/>
          <w:bCs/>
        </w:rPr>
      </w:pPr>
      <w:r w:rsidRPr="00953F4F">
        <w:rPr>
          <w:rFonts w:ascii="Times New Roman" w:hAnsi="Times New Roman" w:cs="Times New Roman"/>
          <w:b/>
          <w:bCs/>
        </w:rPr>
        <w:t>Akty prawne:</w:t>
      </w:r>
    </w:p>
    <w:p w14:paraId="088B16C3" w14:textId="77777777" w:rsidR="00521E1F" w:rsidRPr="00953F4F" w:rsidRDefault="00521E1F" w:rsidP="00521E1F">
      <w:pPr>
        <w:pStyle w:val="Tekstprzypisudolnego"/>
        <w:spacing w:after="120"/>
        <w:jc w:val="both"/>
        <w:rPr>
          <w:rFonts w:ascii="Times New Roman" w:hAnsi="Times New Roman" w:cs="Times New Roman"/>
          <w:sz w:val="24"/>
          <w:szCs w:val="24"/>
        </w:rPr>
      </w:pPr>
      <w:r w:rsidRPr="00521E1F">
        <w:rPr>
          <w:rFonts w:ascii="Times New Roman" w:hAnsi="Times New Roman" w:cs="Times New Roman"/>
          <w:sz w:val="24"/>
          <w:szCs w:val="24"/>
        </w:rPr>
        <w:t>Kodeks Cywiln</w:t>
      </w:r>
      <w:r>
        <w:rPr>
          <w:rFonts w:ascii="Times New Roman" w:hAnsi="Times New Roman" w:cs="Times New Roman"/>
          <w:sz w:val="24"/>
          <w:szCs w:val="24"/>
        </w:rPr>
        <w:t>y</w:t>
      </w:r>
      <w:r w:rsidRPr="00521E1F">
        <w:rPr>
          <w:rFonts w:ascii="Times New Roman" w:hAnsi="Times New Roman" w:cs="Times New Roman"/>
          <w:sz w:val="24"/>
          <w:szCs w:val="24"/>
        </w:rPr>
        <w:t xml:space="preserve"> z dnia 23 kwietnia 1964 r. (</w:t>
      </w:r>
      <w:proofErr w:type="spellStart"/>
      <w:r w:rsidRPr="00521E1F">
        <w:rPr>
          <w:rFonts w:ascii="Times New Roman" w:hAnsi="Times New Roman" w:cs="Times New Roman"/>
          <w:sz w:val="24"/>
          <w:szCs w:val="24"/>
        </w:rPr>
        <w:t>t.j</w:t>
      </w:r>
      <w:proofErr w:type="spellEnd"/>
      <w:r w:rsidRPr="00521E1F">
        <w:rPr>
          <w:rFonts w:ascii="Times New Roman" w:hAnsi="Times New Roman" w:cs="Times New Roman"/>
          <w:sz w:val="24"/>
          <w:szCs w:val="24"/>
        </w:rPr>
        <w:t>. Dz.U. z 2025 r. poz. 1071)</w:t>
      </w:r>
    </w:p>
    <w:p w14:paraId="6361DD4F" w14:textId="77777777" w:rsidR="0066095C" w:rsidRPr="00953F4F"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t>Pierwsza dyrektywa Rady z dnia 21 grudnia 1988 r. mająca na celu zbliżenie ustawodawstw Państw Członkowskich odnoszących się do znaków towarowych (</w:t>
      </w:r>
      <w:proofErr w:type="spellStart"/>
      <w:r w:rsidRPr="00953F4F">
        <w:rPr>
          <w:rFonts w:ascii="Times New Roman" w:hAnsi="Times New Roman" w:cs="Times New Roman"/>
          <w:sz w:val="24"/>
          <w:szCs w:val="24"/>
        </w:rPr>
        <w:t>Dz.Urz.UE.L</w:t>
      </w:r>
      <w:proofErr w:type="spellEnd"/>
      <w:r w:rsidRPr="00953F4F">
        <w:rPr>
          <w:rFonts w:ascii="Times New Roman" w:hAnsi="Times New Roman" w:cs="Times New Roman"/>
          <w:sz w:val="24"/>
          <w:szCs w:val="24"/>
        </w:rPr>
        <w:t xml:space="preserve"> 1989 Nr 40, s. 1)</w:t>
      </w:r>
    </w:p>
    <w:p w14:paraId="3C741A95" w14:textId="77777777" w:rsidR="0066095C" w:rsidRPr="00953F4F"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t>Rozporządzenie Rady (WE) nr 40/94 z dnia 20 grudnia 1993 r. w sprawie wspólnotowego znaku towarowego (</w:t>
      </w:r>
      <w:proofErr w:type="spellStart"/>
      <w:r w:rsidRPr="00953F4F">
        <w:rPr>
          <w:rFonts w:ascii="Times New Roman" w:hAnsi="Times New Roman" w:cs="Times New Roman"/>
          <w:sz w:val="24"/>
          <w:szCs w:val="24"/>
        </w:rPr>
        <w:t>Dz.Urz.UE.L</w:t>
      </w:r>
      <w:proofErr w:type="spellEnd"/>
      <w:r w:rsidRPr="00953F4F">
        <w:rPr>
          <w:rFonts w:ascii="Times New Roman" w:hAnsi="Times New Roman" w:cs="Times New Roman"/>
          <w:sz w:val="24"/>
          <w:szCs w:val="24"/>
        </w:rPr>
        <w:t xml:space="preserve"> 1994 Nr 11, s. 1)</w:t>
      </w:r>
    </w:p>
    <w:p w14:paraId="4D2C9BC5" w14:textId="1F49F8D6" w:rsidR="0066095C" w:rsidRPr="00953F4F"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t>Ustawa z dnia 30 czerwca 2000 r. - Prawo własności przemysłowej (</w:t>
      </w:r>
      <w:proofErr w:type="spellStart"/>
      <w:r w:rsidRPr="00953F4F">
        <w:rPr>
          <w:rFonts w:ascii="Times New Roman" w:hAnsi="Times New Roman" w:cs="Times New Roman"/>
          <w:sz w:val="24"/>
          <w:szCs w:val="24"/>
        </w:rPr>
        <w:t>t.j</w:t>
      </w:r>
      <w:proofErr w:type="spellEnd"/>
      <w:r w:rsidRPr="00953F4F">
        <w:rPr>
          <w:rFonts w:ascii="Times New Roman" w:hAnsi="Times New Roman" w:cs="Times New Roman"/>
          <w:sz w:val="24"/>
          <w:szCs w:val="24"/>
        </w:rPr>
        <w:t>. Dz.U. z 2023 r. poz. 1170</w:t>
      </w:r>
    </w:p>
    <w:p w14:paraId="4360C602" w14:textId="73DBF51E" w:rsidR="0066095C"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t>Dyrektywa Parlamentu Europejskiego i Rady (UE) nr 2015/2436 z dnia 16 grudnia 2015 r. mająca na celu zbliżenie ustawodawstw państw członkowskich odnoszących się do znaków towarowych (wersja przekształcona) (</w:t>
      </w:r>
      <w:proofErr w:type="spellStart"/>
      <w:r w:rsidRPr="00953F4F">
        <w:rPr>
          <w:rFonts w:ascii="Times New Roman" w:hAnsi="Times New Roman" w:cs="Times New Roman"/>
          <w:sz w:val="24"/>
          <w:szCs w:val="24"/>
        </w:rPr>
        <w:t>Dz.Urz.UE.L</w:t>
      </w:r>
      <w:proofErr w:type="spellEnd"/>
      <w:r w:rsidRPr="00953F4F">
        <w:rPr>
          <w:rFonts w:ascii="Times New Roman" w:hAnsi="Times New Roman" w:cs="Times New Roman"/>
          <w:sz w:val="24"/>
          <w:szCs w:val="24"/>
        </w:rPr>
        <w:t xml:space="preserve"> 2015 Nr 336, s. 1), dalej: dyrektywa 2015/2436</w:t>
      </w:r>
    </w:p>
    <w:p w14:paraId="729914B6" w14:textId="77777777" w:rsidR="0066095C" w:rsidRPr="00953F4F"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t>Rozporządzenie Parlamentu Europejskiego i Rady (UE) nr 2015/2424 z dnia 16 grudnia 2015 r. zmieniające rozporządzenie Rady (WE) nr 207/2009 w sprawie wspólnotowego znaku towarowego i rozporządzenie Komisji (WE) nr 2868/95 wykonujące rozporządzenie Rady (WE) nr 40/94 w sprawie wspólnotowego znaku towarowego oraz uchylające rozporządzenie Komisji (WE) nr 2869/95 w sprawie opłat na rzecz Urzędu Harmonizacji w ramach Rynku Wewnętrznego (znaki towarowe i wzory) (</w:t>
      </w:r>
      <w:proofErr w:type="spellStart"/>
      <w:r w:rsidRPr="00953F4F">
        <w:rPr>
          <w:rFonts w:ascii="Times New Roman" w:hAnsi="Times New Roman" w:cs="Times New Roman"/>
          <w:sz w:val="24"/>
          <w:szCs w:val="24"/>
        </w:rPr>
        <w:t>Dz.Urz.UE.L</w:t>
      </w:r>
      <w:proofErr w:type="spellEnd"/>
      <w:r w:rsidRPr="00953F4F">
        <w:rPr>
          <w:rFonts w:ascii="Times New Roman" w:hAnsi="Times New Roman" w:cs="Times New Roman"/>
          <w:sz w:val="24"/>
          <w:szCs w:val="24"/>
        </w:rPr>
        <w:t xml:space="preserve"> 2015 Nr 341, s. 21)</w:t>
      </w:r>
    </w:p>
    <w:p w14:paraId="75BC9016" w14:textId="77777777" w:rsidR="0066095C"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t>Rozporządzenie Parlamentu Europejskiego i Rady (UE) nr 2017/1001 z dnia 14 czerwca 2017 r. w sprawie znaku towarowego Unii Europejskiej (</w:t>
      </w:r>
      <w:proofErr w:type="spellStart"/>
      <w:r w:rsidRPr="00953F4F">
        <w:rPr>
          <w:rFonts w:ascii="Times New Roman" w:hAnsi="Times New Roman" w:cs="Times New Roman"/>
          <w:sz w:val="24"/>
          <w:szCs w:val="24"/>
        </w:rPr>
        <w:t>Dz.Urz.UE.L</w:t>
      </w:r>
      <w:proofErr w:type="spellEnd"/>
      <w:r w:rsidRPr="00953F4F">
        <w:rPr>
          <w:rFonts w:ascii="Times New Roman" w:hAnsi="Times New Roman" w:cs="Times New Roman"/>
          <w:sz w:val="24"/>
          <w:szCs w:val="24"/>
        </w:rPr>
        <w:t xml:space="preserve"> 2017 Nr 154, s. 1)</w:t>
      </w:r>
    </w:p>
    <w:p w14:paraId="02B6A11E" w14:textId="7214AFA7" w:rsidR="00521E1F" w:rsidRDefault="00521E1F" w:rsidP="0066095C">
      <w:pPr>
        <w:pStyle w:val="Tekstprzypisudolnego"/>
        <w:spacing w:after="120"/>
        <w:jc w:val="both"/>
        <w:rPr>
          <w:rFonts w:ascii="Times New Roman" w:hAnsi="Times New Roman" w:cs="Times New Roman"/>
          <w:sz w:val="24"/>
          <w:szCs w:val="24"/>
        </w:rPr>
      </w:pPr>
      <w:r>
        <w:rPr>
          <w:rFonts w:ascii="Times New Roman" w:hAnsi="Times New Roman" w:cs="Times New Roman"/>
          <w:sz w:val="24"/>
          <w:szCs w:val="24"/>
        </w:rPr>
        <w:t>U</w:t>
      </w:r>
      <w:r w:rsidRPr="00521E1F">
        <w:rPr>
          <w:rFonts w:ascii="Times New Roman" w:hAnsi="Times New Roman" w:cs="Times New Roman"/>
          <w:sz w:val="24"/>
          <w:szCs w:val="24"/>
        </w:rPr>
        <w:t>staw</w:t>
      </w:r>
      <w:r>
        <w:rPr>
          <w:rFonts w:ascii="Times New Roman" w:hAnsi="Times New Roman" w:cs="Times New Roman"/>
          <w:sz w:val="24"/>
          <w:szCs w:val="24"/>
        </w:rPr>
        <w:t>a</w:t>
      </w:r>
      <w:r w:rsidRPr="00521E1F">
        <w:rPr>
          <w:rFonts w:ascii="Times New Roman" w:hAnsi="Times New Roman" w:cs="Times New Roman"/>
          <w:sz w:val="24"/>
          <w:szCs w:val="24"/>
        </w:rPr>
        <w:t xml:space="preserve"> o zmianie ustawy – Prawo własności przemysłowej z dnia 20 lutego 2019 r. (Dz.U. z 2019 r. poz. 501)</w:t>
      </w:r>
    </w:p>
    <w:p w14:paraId="58B3297D" w14:textId="663BE31C" w:rsidR="00A14CA5" w:rsidRPr="00953F4F" w:rsidRDefault="00A14CA5" w:rsidP="0066095C">
      <w:pPr>
        <w:pStyle w:val="Tekstprzypisudolnego"/>
        <w:spacing w:after="120"/>
        <w:jc w:val="both"/>
        <w:rPr>
          <w:rFonts w:ascii="Times New Roman" w:hAnsi="Times New Roman" w:cs="Times New Roman"/>
          <w:sz w:val="24"/>
          <w:szCs w:val="24"/>
        </w:rPr>
      </w:pPr>
      <w:r>
        <w:rPr>
          <w:rFonts w:ascii="Times New Roman" w:hAnsi="Times New Roman" w:cs="Times New Roman"/>
          <w:sz w:val="24"/>
          <w:szCs w:val="24"/>
        </w:rPr>
        <w:t>P</w:t>
      </w:r>
      <w:r w:rsidRPr="00A14CA5">
        <w:rPr>
          <w:rFonts w:ascii="Times New Roman" w:hAnsi="Times New Roman" w:cs="Times New Roman"/>
          <w:sz w:val="24"/>
          <w:szCs w:val="24"/>
        </w:rPr>
        <w:t>rotok</w:t>
      </w:r>
      <w:r>
        <w:rPr>
          <w:rFonts w:ascii="Times New Roman" w:hAnsi="Times New Roman" w:cs="Times New Roman"/>
          <w:sz w:val="24"/>
          <w:szCs w:val="24"/>
        </w:rPr>
        <w:t>ół</w:t>
      </w:r>
      <w:r w:rsidRPr="00A14CA5">
        <w:rPr>
          <w:rFonts w:ascii="Times New Roman" w:hAnsi="Times New Roman" w:cs="Times New Roman"/>
          <w:sz w:val="24"/>
          <w:szCs w:val="24"/>
        </w:rPr>
        <w:t xml:space="preserve"> nr 3 w sprawie statutu Trybunału Sprawiedliwości Unii Europejskiej (wersja skonsolidowana z 1 września 2024 r., dostępna na stronie internetowej: https://curia.europa.eu/jcms/jcms/Jo2_7040/pl/)</w:t>
      </w:r>
    </w:p>
    <w:p w14:paraId="5DF09380" w14:textId="77777777" w:rsidR="0066095C" w:rsidRPr="00953F4F" w:rsidRDefault="0066095C" w:rsidP="0066095C">
      <w:pPr>
        <w:pStyle w:val="Tekstprzypisudolnego"/>
        <w:spacing w:after="120"/>
        <w:jc w:val="both"/>
        <w:rPr>
          <w:rFonts w:ascii="Times New Roman" w:hAnsi="Times New Roman" w:cs="Times New Roman"/>
          <w:sz w:val="24"/>
          <w:szCs w:val="24"/>
        </w:rPr>
      </w:pPr>
    </w:p>
    <w:p w14:paraId="71578AE9" w14:textId="77777777" w:rsidR="0066095C" w:rsidRPr="00953F4F" w:rsidRDefault="0066095C" w:rsidP="0066095C">
      <w:pPr>
        <w:pStyle w:val="Tekstprzypisudolnego"/>
        <w:spacing w:after="120"/>
        <w:jc w:val="both"/>
        <w:rPr>
          <w:rFonts w:ascii="Times New Roman" w:hAnsi="Times New Roman" w:cs="Times New Roman"/>
          <w:b/>
          <w:bCs/>
          <w:sz w:val="24"/>
          <w:szCs w:val="24"/>
        </w:rPr>
      </w:pPr>
      <w:r w:rsidRPr="00953F4F">
        <w:rPr>
          <w:rFonts w:ascii="Times New Roman" w:hAnsi="Times New Roman" w:cs="Times New Roman"/>
          <w:b/>
          <w:bCs/>
          <w:sz w:val="24"/>
          <w:szCs w:val="24"/>
        </w:rPr>
        <w:t>Orzecznictwo:</w:t>
      </w:r>
    </w:p>
    <w:p w14:paraId="4678FEAF" w14:textId="77777777" w:rsidR="0066095C" w:rsidRPr="00953F4F"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t>Wyrok NSA z 5 lipca 2007 r., II GSK 98/07</w:t>
      </w:r>
    </w:p>
    <w:p w14:paraId="2ACF6B19" w14:textId="585775C2" w:rsidR="0066095C" w:rsidRPr="00953F4F"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t xml:space="preserve">Wyrok Trybunału Sprawiedliwości z 11 czerwca 2009 r., C-529/07, </w:t>
      </w:r>
      <w:proofErr w:type="spellStart"/>
      <w:r w:rsidRPr="00953F4F">
        <w:rPr>
          <w:rFonts w:ascii="Times New Roman" w:hAnsi="Times New Roman" w:cs="Times New Roman"/>
          <w:i/>
          <w:iCs/>
          <w:sz w:val="24"/>
          <w:szCs w:val="24"/>
        </w:rPr>
        <w:t>Chocoladenfabriken</w:t>
      </w:r>
      <w:proofErr w:type="spellEnd"/>
      <w:r w:rsidRPr="00953F4F">
        <w:rPr>
          <w:rFonts w:ascii="Times New Roman" w:hAnsi="Times New Roman" w:cs="Times New Roman"/>
          <w:i/>
          <w:iCs/>
          <w:sz w:val="24"/>
          <w:szCs w:val="24"/>
        </w:rPr>
        <w:t xml:space="preserve"> </w:t>
      </w:r>
      <w:proofErr w:type="spellStart"/>
      <w:r w:rsidRPr="00953F4F">
        <w:rPr>
          <w:rFonts w:ascii="Times New Roman" w:hAnsi="Times New Roman" w:cs="Times New Roman"/>
          <w:i/>
          <w:iCs/>
          <w:sz w:val="24"/>
          <w:szCs w:val="24"/>
        </w:rPr>
        <w:t>Lindt</w:t>
      </w:r>
      <w:proofErr w:type="spellEnd"/>
      <w:r w:rsidRPr="00953F4F">
        <w:rPr>
          <w:rFonts w:ascii="Times New Roman" w:hAnsi="Times New Roman" w:cs="Times New Roman"/>
          <w:i/>
          <w:iCs/>
          <w:sz w:val="24"/>
          <w:szCs w:val="24"/>
        </w:rPr>
        <w:t xml:space="preserve"> &amp; </w:t>
      </w:r>
      <w:proofErr w:type="spellStart"/>
      <w:r w:rsidRPr="00953F4F">
        <w:rPr>
          <w:rFonts w:ascii="Times New Roman" w:hAnsi="Times New Roman" w:cs="Times New Roman"/>
          <w:i/>
          <w:iCs/>
          <w:sz w:val="24"/>
          <w:szCs w:val="24"/>
        </w:rPr>
        <w:t>Sprüngli</w:t>
      </w:r>
      <w:proofErr w:type="spellEnd"/>
      <w:r w:rsidRPr="00953F4F">
        <w:rPr>
          <w:rFonts w:ascii="Times New Roman" w:hAnsi="Times New Roman" w:cs="Times New Roman"/>
          <w:sz w:val="24"/>
          <w:szCs w:val="24"/>
        </w:rPr>
        <w:t>, ECLI:EU:C:2009:361</w:t>
      </w:r>
    </w:p>
    <w:p w14:paraId="724C6AA8" w14:textId="2E4D890A" w:rsidR="0066095C" w:rsidRPr="00953F4F"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t>Wyrok Trybunału Sprawiedliwości z 22 września 2011 r., C</w:t>
      </w:r>
      <w:r w:rsidRPr="00953F4F">
        <w:rPr>
          <w:rFonts w:ascii="Times New Roman" w:hAnsi="Times New Roman" w:cs="Times New Roman"/>
          <w:sz w:val="24"/>
          <w:szCs w:val="24"/>
        </w:rPr>
        <w:noBreakHyphen/>
        <w:t>482/09</w:t>
      </w:r>
      <w:r w:rsidRPr="00953F4F">
        <w:rPr>
          <w:rFonts w:ascii="Times New Roman" w:hAnsi="Times New Roman" w:cs="Times New Roman"/>
          <w:i/>
          <w:iCs/>
          <w:sz w:val="24"/>
          <w:szCs w:val="24"/>
        </w:rPr>
        <w:t xml:space="preserve">, </w:t>
      </w:r>
      <w:proofErr w:type="spellStart"/>
      <w:r w:rsidRPr="00953F4F">
        <w:rPr>
          <w:rFonts w:ascii="Times New Roman" w:hAnsi="Times New Roman" w:cs="Times New Roman"/>
          <w:i/>
          <w:iCs/>
          <w:sz w:val="24"/>
          <w:szCs w:val="24"/>
        </w:rPr>
        <w:t>Budějovický</w:t>
      </w:r>
      <w:proofErr w:type="spellEnd"/>
      <w:r w:rsidRPr="00953F4F">
        <w:rPr>
          <w:rFonts w:ascii="Times New Roman" w:hAnsi="Times New Roman" w:cs="Times New Roman"/>
          <w:i/>
          <w:iCs/>
          <w:sz w:val="24"/>
          <w:szCs w:val="24"/>
        </w:rPr>
        <w:t xml:space="preserve"> </w:t>
      </w:r>
      <w:proofErr w:type="spellStart"/>
      <w:r w:rsidRPr="00953F4F">
        <w:rPr>
          <w:rFonts w:ascii="Times New Roman" w:hAnsi="Times New Roman" w:cs="Times New Roman"/>
          <w:i/>
          <w:iCs/>
          <w:sz w:val="24"/>
          <w:szCs w:val="24"/>
        </w:rPr>
        <w:t>Budvar</w:t>
      </w:r>
      <w:proofErr w:type="spellEnd"/>
      <w:r w:rsidRPr="00953F4F">
        <w:rPr>
          <w:rFonts w:ascii="Times New Roman" w:hAnsi="Times New Roman" w:cs="Times New Roman"/>
          <w:sz w:val="24"/>
          <w:szCs w:val="24"/>
        </w:rPr>
        <w:t>, ECLI:EU:C:2011:605</w:t>
      </w:r>
    </w:p>
    <w:p w14:paraId="78A4A14B" w14:textId="77777777" w:rsidR="0066095C" w:rsidRPr="00953F4F"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lastRenderedPageBreak/>
        <w:t>Wyr</w:t>
      </w:r>
      <w:r>
        <w:rPr>
          <w:rFonts w:ascii="Times New Roman" w:hAnsi="Times New Roman" w:cs="Times New Roman"/>
          <w:sz w:val="24"/>
          <w:szCs w:val="24"/>
        </w:rPr>
        <w:t>ok</w:t>
      </w:r>
      <w:r w:rsidRPr="00953F4F">
        <w:rPr>
          <w:rFonts w:ascii="Times New Roman" w:hAnsi="Times New Roman" w:cs="Times New Roman"/>
          <w:sz w:val="24"/>
          <w:szCs w:val="24"/>
        </w:rPr>
        <w:t xml:space="preserve"> Federalnego Trybunału Sprawiedliwości RFN (BGH) z 15 listopada 2015 r., I ZR 50/14</w:t>
      </w:r>
    </w:p>
    <w:p w14:paraId="5ECCBA99" w14:textId="77777777" w:rsidR="0066095C" w:rsidRPr="00953F4F"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t>Wyrok Sądu UE z 20 kwietnia 2016 r., T</w:t>
      </w:r>
      <w:r w:rsidRPr="00953F4F">
        <w:rPr>
          <w:rFonts w:ascii="Times New Roman" w:hAnsi="Times New Roman" w:cs="Times New Roman"/>
          <w:sz w:val="24"/>
          <w:szCs w:val="24"/>
        </w:rPr>
        <w:noBreakHyphen/>
        <w:t>77/15</w:t>
      </w:r>
      <w:r w:rsidRPr="00953F4F">
        <w:rPr>
          <w:rFonts w:ascii="Times New Roman" w:hAnsi="Times New Roman" w:cs="Times New Roman"/>
          <w:i/>
          <w:iCs/>
          <w:sz w:val="24"/>
          <w:szCs w:val="24"/>
        </w:rPr>
        <w:t xml:space="preserve">, </w:t>
      </w:r>
      <w:proofErr w:type="spellStart"/>
      <w:r w:rsidRPr="00953F4F">
        <w:rPr>
          <w:rFonts w:ascii="Times New Roman" w:hAnsi="Times New Roman" w:cs="Times New Roman"/>
          <w:i/>
          <w:iCs/>
          <w:sz w:val="24"/>
          <w:szCs w:val="24"/>
        </w:rPr>
        <w:t>Tronios</w:t>
      </w:r>
      <w:proofErr w:type="spellEnd"/>
      <w:r w:rsidRPr="00953F4F">
        <w:rPr>
          <w:rFonts w:ascii="Times New Roman" w:hAnsi="Times New Roman" w:cs="Times New Roman"/>
          <w:i/>
          <w:iCs/>
          <w:sz w:val="24"/>
          <w:szCs w:val="24"/>
        </w:rPr>
        <w:t xml:space="preserve"> </w:t>
      </w:r>
      <w:proofErr w:type="spellStart"/>
      <w:r w:rsidRPr="00953F4F">
        <w:rPr>
          <w:rFonts w:ascii="Times New Roman" w:hAnsi="Times New Roman" w:cs="Times New Roman"/>
          <w:i/>
          <w:iCs/>
          <w:sz w:val="24"/>
          <w:szCs w:val="24"/>
        </w:rPr>
        <w:t>Group</w:t>
      </w:r>
      <w:proofErr w:type="spellEnd"/>
      <w:r w:rsidRPr="00953F4F">
        <w:rPr>
          <w:rFonts w:ascii="Times New Roman" w:hAnsi="Times New Roman" w:cs="Times New Roman"/>
          <w:i/>
          <w:iCs/>
          <w:sz w:val="24"/>
          <w:szCs w:val="24"/>
        </w:rPr>
        <w:t xml:space="preserve"> International v EUIPO - </w:t>
      </w:r>
      <w:proofErr w:type="spellStart"/>
      <w:r w:rsidRPr="00953F4F">
        <w:rPr>
          <w:rFonts w:ascii="Times New Roman" w:hAnsi="Times New Roman" w:cs="Times New Roman"/>
          <w:i/>
          <w:iCs/>
          <w:sz w:val="24"/>
          <w:szCs w:val="24"/>
        </w:rPr>
        <w:t>Sky</w:t>
      </w:r>
      <w:proofErr w:type="spellEnd"/>
      <w:r w:rsidRPr="00953F4F">
        <w:rPr>
          <w:rFonts w:ascii="Times New Roman" w:hAnsi="Times New Roman" w:cs="Times New Roman"/>
          <w:i/>
          <w:iCs/>
          <w:sz w:val="24"/>
          <w:szCs w:val="24"/>
        </w:rPr>
        <w:t xml:space="preserve"> (</w:t>
      </w:r>
      <w:proofErr w:type="spellStart"/>
      <w:r w:rsidRPr="00953F4F">
        <w:rPr>
          <w:rFonts w:ascii="Times New Roman" w:hAnsi="Times New Roman" w:cs="Times New Roman"/>
          <w:i/>
          <w:iCs/>
          <w:sz w:val="24"/>
          <w:szCs w:val="24"/>
        </w:rPr>
        <w:t>SkyTec</w:t>
      </w:r>
      <w:proofErr w:type="spellEnd"/>
      <w:r w:rsidRPr="00953F4F">
        <w:rPr>
          <w:rFonts w:ascii="Times New Roman" w:hAnsi="Times New Roman" w:cs="Times New Roman"/>
          <w:i/>
          <w:iCs/>
          <w:sz w:val="24"/>
          <w:szCs w:val="24"/>
        </w:rPr>
        <w:t>),</w:t>
      </w:r>
      <w:r w:rsidRPr="00953F4F">
        <w:rPr>
          <w:rFonts w:ascii="Times New Roman" w:hAnsi="Times New Roman" w:cs="Times New Roman"/>
          <w:sz w:val="24"/>
          <w:szCs w:val="24"/>
        </w:rPr>
        <w:t xml:space="preserve"> ECLI:EU:T:2016:226</w:t>
      </w:r>
    </w:p>
    <w:p w14:paraId="6F1F5F43" w14:textId="77777777" w:rsidR="0066095C" w:rsidRPr="00953F4F"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t>Wyrok Sądu UE z 4 października 2018 r., T</w:t>
      </w:r>
      <w:r w:rsidRPr="00953F4F">
        <w:rPr>
          <w:rFonts w:ascii="Times New Roman" w:hAnsi="Times New Roman" w:cs="Times New Roman"/>
          <w:sz w:val="24"/>
          <w:szCs w:val="24"/>
        </w:rPr>
        <w:noBreakHyphen/>
        <w:t xml:space="preserve">150/17, </w:t>
      </w:r>
      <w:proofErr w:type="spellStart"/>
      <w:r w:rsidRPr="00953F4F">
        <w:rPr>
          <w:rFonts w:ascii="Times New Roman" w:hAnsi="Times New Roman" w:cs="Times New Roman"/>
          <w:i/>
          <w:iCs/>
          <w:sz w:val="24"/>
          <w:szCs w:val="24"/>
        </w:rPr>
        <w:t>Asolo</w:t>
      </w:r>
      <w:proofErr w:type="spellEnd"/>
      <w:r w:rsidRPr="00953F4F">
        <w:rPr>
          <w:rFonts w:ascii="Times New Roman" w:hAnsi="Times New Roman" w:cs="Times New Roman"/>
          <w:i/>
          <w:iCs/>
          <w:sz w:val="24"/>
          <w:szCs w:val="24"/>
        </w:rPr>
        <w:t xml:space="preserve"> v EUIPO - Red Bull (FLÜGEL),</w:t>
      </w:r>
      <w:r w:rsidRPr="00953F4F">
        <w:rPr>
          <w:rFonts w:ascii="Times New Roman" w:hAnsi="Times New Roman" w:cs="Times New Roman"/>
          <w:sz w:val="24"/>
          <w:szCs w:val="24"/>
        </w:rPr>
        <w:t xml:space="preserve"> ECLI:EU:T:2018:641</w:t>
      </w:r>
    </w:p>
    <w:p w14:paraId="21968BD2" w14:textId="77777777" w:rsidR="0066095C" w:rsidRPr="00953F4F"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t xml:space="preserve">Wyrok Sądu UE z 29 września 2021 r., </w:t>
      </w:r>
      <w:proofErr w:type="spellStart"/>
      <w:r w:rsidRPr="00953F4F">
        <w:rPr>
          <w:rFonts w:ascii="Times New Roman" w:hAnsi="Times New Roman" w:cs="Times New Roman"/>
          <w:i/>
          <w:iCs/>
          <w:sz w:val="24"/>
          <w:szCs w:val="24"/>
        </w:rPr>
        <w:t>Univers</w:t>
      </w:r>
      <w:proofErr w:type="spellEnd"/>
      <w:r w:rsidRPr="00953F4F">
        <w:rPr>
          <w:rFonts w:ascii="Times New Roman" w:hAnsi="Times New Roman" w:cs="Times New Roman"/>
          <w:i/>
          <w:iCs/>
          <w:sz w:val="24"/>
          <w:szCs w:val="24"/>
        </w:rPr>
        <w:t xml:space="preserve"> Agro przeciwko EUIPO - </w:t>
      </w:r>
      <w:proofErr w:type="spellStart"/>
      <w:r w:rsidRPr="00953F4F">
        <w:rPr>
          <w:rFonts w:ascii="Times New Roman" w:hAnsi="Times New Roman" w:cs="Times New Roman"/>
          <w:i/>
          <w:iCs/>
          <w:sz w:val="24"/>
          <w:szCs w:val="24"/>
        </w:rPr>
        <w:t>Shandong</w:t>
      </w:r>
      <w:proofErr w:type="spellEnd"/>
      <w:r w:rsidRPr="00953F4F">
        <w:rPr>
          <w:rFonts w:ascii="Times New Roman" w:hAnsi="Times New Roman" w:cs="Times New Roman"/>
          <w:i/>
          <w:iCs/>
          <w:sz w:val="24"/>
          <w:szCs w:val="24"/>
        </w:rPr>
        <w:t xml:space="preserve"> </w:t>
      </w:r>
      <w:proofErr w:type="spellStart"/>
      <w:r w:rsidRPr="00953F4F">
        <w:rPr>
          <w:rFonts w:ascii="Times New Roman" w:hAnsi="Times New Roman" w:cs="Times New Roman"/>
          <w:i/>
          <w:iCs/>
          <w:sz w:val="24"/>
          <w:szCs w:val="24"/>
        </w:rPr>
        <w:t>Hengfeng</w:t>
      </w:r>
      <w:proofErr w:type="spellEnd"/>
      <w:r w:rsidRPr="00953F4F">
        <w:rPr>
          <w:rFonts w:ascii="Times New Roman" w:hAnsi="Times New Roman" w:cs="Times New Roman"/>
          <w:i/>
          <w:iCs/>
          <w:sz w:val="24"/>
          <w:szCs w:val="24"/>
        </w:rPr>
        <w:t xml:space="preserve"> </w:t>
      </w:r>
      <w:proofErr w:type="spellStart"/>
      <w:r w:rsidRPr="00953F4F">
        <w:rPr>
          <w:rFonts w:ascii="Times New Roman" w:hAnsi="Times New Roman" w:cs="Times New Roman"/>
          <w:i/>
          <w:iCs/>
          <w:sz w:val="24"/>
          <w:szCs w:val="24"/>
        </w:rPr>
        <w:t>Rubber</w:t>
      </w:r>
      <w:proofErr w:type="spellEnd"/>
      <w:r w:rsidRPr="00953F4F">
        <w:rPr>
          <w:rFonts w:ascii="Times New Roman" w:hAnsi="Times New Roman" w:cs="Times New Roman"/>
          <w:i/>
          <w:iCs/>
          <w:sz w:val="24"/>
          <w:szCs w:val="24"/>
        </w:rPr>
        <w:t xml:space="preserve"> &amp; Plastic (AGATE),</w:t>
      </w:r>
      <w:r w:rsidRPr="00953F4F">
        <w:rPr>
          <w:rFonts w:ascii="Times New Roman" w:hAnsi="Times New Roman" w:cs="Times New Roman"/>
          <w:sz w:val="24"/>
          <w:szCs w:val="24"/>
        </w:rPr>
        <w:t xml:space="preserve"> ECLI:EU:T:2021:633</w:t>
      </w:r>
    </w:p>
    <w:p w14:paraId="277EC225" w14:textId="77777777" w:rsidR="0066095C" w:rsidRPr="00953F4F"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t>Wyrok Sądu Najwyższego z 25 lipca 2024 r., II CSKP 1337/22</w:t>
      </w:r>
    </w:p>
    <w:p w14:paraId="44EACA86" w14:textId="77777777" w:rsidR="0066095C" w:rsidRPr="00953F4F"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t xml:space="preserve">Wyrok Sądu UE z 6 listopada 2024 r., T-136/23, </w:t>
      </w:r>
      <w:proofErr w:type="spellStart"/>
      <w:r w:rsidRPr="00953F4F">
        <w:rPr>
          <w:rFonts w:ascii="Times New Roman" w:hAnsi="Times New Roman" w:cs="Times New Roman"/>
          <w:i/>
          <w:iCs/>
          <w:sz w:val="24"/>
          <w:szCs w:val="24"/>
        </w:rPr>
        <w:t>Vintae</w:t>
      </w:r>
      <w:proofErr w:type="spellEnd"/>
      <w:r w:rsidRPr="00953F4F">
        <w:rPr>
          <w:rFonts w:ascii="Times New Roman" w:hAnsi="Times New Roman" w:cs="Times New Roman"/>
          <w:i/>
          <w:iCs/>
          <w:sz w:val="24"/>
          <w:szCs w:val="24"/>
        </w:rPr>
        <w:t xml:space="preserve"> </w:t>
      </w:r>
      <w:proofErr w:type="spellStart"/>
      <w:r w:rsidRPr="00953F4F">
        <w:rPr>
          <w:rFonts w:ascii="Times New Roman" w:hAnsi="Times New Roman" w:cs="Times New Roman"/>
          <w:i/>
          <w:iCs/>
          <w:sz w:val="24"/>
          <w:szCs w:val="24"/>
        </w:rPr>
        <w:t>Luxury</w:t>
      </w:r>
      <w:proofErr w:type="spellEnd"/>
      <w:r w:rsidRPr="00953F4F">
        <w:rPr>
          <w:rFonts w:ascii="Times New Roman" w:hAnsi="Times New Roman" w:cs="Times New Roman"/>
          <w:i/>
          <w:iCs/>
          <w:sz w:val="24"/>
          <w:szCs w:val="24"/>
        </w:rPr>
        <w:t xml:space="preserve"> Wine </w:t>
      </w:r>
      <w:proofErr w:type="spellStart"/>
      <w:r w:rsidRPr="00953F4F">
        <w:rPr>
          <w:rFonts w:ascii="Times New Roman" w:hAnsi="Times New Roman" w:cs="Times New Roman"/>
          <w:i/>
          <w:iCs/>
          <w:sz w:val="24"/>
          <w:szCs w:val="24"/>
        </w:rPr>
        <w:t>Specialists</w:t>
      </w:r>
      <w:proofErr w:type="spellEnd"/>
      <w:r w:rsidRPr="00953F4F">
        <w:rPr>
          <w:rFonts w:ascii="Times New Roman" w:hAnsi="Times New Roman" w:cs="Times New Roman"/>
          <w:i/>
          <w:iCs/>
          <w:sz w:val="24"/>
          <w:szCs w:val="24"/>
        </w:rPr>
        <w:t xml:space="preserve"> przeciwko EUIPO - Grande Vitae (</w:t>
      </w:r>
      <w:proofErr w:type="spellStart"/>
      <w:r w:rsidRPr="00953F4F">
        <w:rPr>
          <w:rFonts w:ascii="Times New Roman" w:hAnsi="Times New Roman" w:cs="Times New Roman"/>
          <w:i/>
          <w:iCs/>
          <w:sz w:val="24"/>
          <w:szCs w:val="24"/>
        </w:rPr>
        <w:t>vintae</w:t>
      </w:r>
      <w:proofErr w:type="spellEnd"/>
      <w:r w:rsidRPr="00953F4F">
        <w:rPr>
          <w:rFonts w:ascii="Times New Roman" w:hAnsi="Times New Roman" w:cs="Times New Roman"/>
          <w:i/>
          <w:iCs/>
          <w:sz w:val="24"/>
          <w:szCs w:val="24"/>
        </w:rPr>
        <w:t>)</w:t>
      </w:r>
      <w:r w:rsidRPr="00953F4F">
        <w:rPr>
          <w:rFonts w:ascii="Times New Roman" w:hAnsi="Times New Roman" w:cs="Times New Roman"/>
          <w:sz w:val="24"/>
          <w:szCs w:val="24"/>
        </w:rPr>
        <w:t>, ECLI:EU:T:2024:779</w:t>
      </w:r>
    </w:p>
    <w:p w14:paraId="7E6862A6" w14:textId="77777777" w:rsidR="0066095C" w:rsidRPr="00953F4F"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t>Postanowienie Trybunału Sprawiedliwości UE z 25 czerwca 2025 r., C</w:t>
      </w:r>
      <w:r w:rsidRPr="00953F4F">
        <w:rPr>
          <w:rFonts w:ascii="Times New Roman" w:hAnsi="Times New Roman" w:cs="Times New Roman"/>
          <w:sz w:val="24"/>
          <w:szCs w:val="24"/>
        </w:rPr>
        <w:noBreakHyphen/>
        <w:t>6/25 P,</w:t>
      </w:r>
      <w:r w:rsidRPr="00953F4F">
        <w:rPr>
          <w:rFonts w:ascii="Times New Roman" w:hAnsi="Times New Roman" w:cs="Times New Roman"/>
          <w:b/>
          <w:bCs/>
          <w:sz w:val="24"/>
          <w:szCs w:val="24"/>
        </w:rPr>
        <w:t> </w:t>
      </w:r>
      <w:proofErr w:type="spellStart"/>
      <w:r w:rsidRPr="00953F4F">
        <w:rPr>
          <w:rFonts w:ascii="Times New Roman" w:hAnsi="Times New Roman" w:cs="Times New Roman"/>
          <w:i/>
          <w:iCs/>
          <w:sz w:val="24"/>
          <w:szCs w:val="24"/>
        </w:rPr>
        <w:t>Vintae</w:t>
      </w:r>
      <w:proofErr w:type="spellEnd"/>
      <w:r w:rsidRPr="00953F4F">
        <w:rPr>
          <w:rFonts w:ascii="Times New Roman" w:hAnsi="Times New Roman" w:cs="Times New Roman"/>
          <w:i/>
          <w:iCs/>
          <w:sz w:val="24"/>
          <w:szCs w:val="24"/>
        </w:rPr>
        <w:t xml:space="preserve"> </w:t>
      </w:r>
      <w:proofErr w:type="spellStart"/>
      <w:r w:rsidRPr="00953F4F">
        <w:rPr>
          <w:rFonts w:ascii="Times New Roman" w:hAnsi="Times New Roman" w:cs="Times New Roman"/>
          <w:i/>
          <w:iCs/>
          <w:sz w:val="24"/>
          <w:szCs w:val="24"/>
        </w:rPr>
        <w:t>Luxury</w:t>
      </w:r>
      <w:proofErr w:type="spellEnd"/>
      <w:r w:rsidRPr="00953F4F">
        <w:rPr>
          <w:rFonts w:ascii="Times New Roman" w:hAnsi="Times New Roman" w:cs="Times New Roman"/>
          <w:i/>
          <w:iCs/>
          <w:sz w:val="24"/>
          <w:szCs w:val="24"/>
        </w:rPr>
        <w:t xml:space="preserve"> Wine </w:t>
      </w:r>
      <w:proofErr w:type="spellStart"/>
      <w:r w:rsidRPr="00953F4F">
        <w:rPr>
          <w:rFonts w:ascii="Times New Roman" w:hAnsi="Times New Roman" w:cs="Times New Roman"/>
          <w:i/>
          <w:iCs/>
          <w:sz w:val="24"/>
          <w:szCs w:val="24"/>
        </w:rPr>
        <w:t>Specialists</w:t>
      </w:r>
      <w:proofErr w:type="spellEnd"/>
      <w:r w:rsidRPr="00953F4F">
        <w:rPr>
          <w:rFonts w:ascii="Times New Roman" w:hAnsi="Times New Roman" w:cs="Times New Roman"/>
          <w:i/>
          <w:iCs/>
          <w:sz w:val="24"/>
          <w:szCs w:val="24"/>
        </w:rPr>
        <w:t xml:space="preserve"> przeciwko EUIPO</w:t>
      </w:r>
      <w:r w:rsidRPr="00953F4F">
        <w:rPr>
          <w:rFonts w:ascii="Times New Roman" w:hAnsi="Times New Roman" w:cs="Times New Roman"/>
          <w:sz w:val="24"/>
          <w:szCs w:val="24"/>
        </w:rPr>
        <w:t>, ECLI:EU:C:2025:494</w:t>
      </w:r>
    </w:p>
    <w:p w14:paraId="059D70B2" w14:textId="77777777" w:rsidR="0066095C" w:rsidRPr="00953F4F"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t>Wyrok NSA z 9 stycznia 2025 r., II GSK 1431/21</w:t>
      </w:r>
    </w:p>
    <w:p w14:paraId="03F90FD8" w14:textId="77777777" w:rsidR="0066095C" w:rsidRPr="00953F4F" w:rsidRDefault="0066095C" w:rsidP="0066095C">
      <w:pPr>
        <w:pStyle w:val="Tekstprzypisudolnego"/>
        <w:spacing w:after="120"/>
        <w:jc w:val="both"/>
        <w:rPr>
          <w:rStyle w:val="Odwoanieprzypisudolnego"/>
          <w:rFonts w:ascii="Times New Roman" w:hAnsi="Times New Roman" w:cs="Times New Roman"/>
          <w:sz w:val="24"/>
          <w:szCs w:val="24"/>
        </w:rPr>
      </w:pPr>
    </w:p>
    <w:p w14:paraId="04E18745" w14:textId="77777777" w:rsidR="0066095C" w:rsidRPr="00953F4F"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b/>
          <w:bCs/>
          <w:sz w:val="24"/>
          <w:szCs w:val="24"/>
        </w:rPr>
        <w:t>Opinie rzeczników generalnych Trybunału Sprawiedliwości UE</w:t>
      </w:r>
      <w:r w:rsidRPr="00953F4F">
        <w:rPr>
          <w:rFonts w:ascii="Times New Roman" w:hAnsi="Times New Roman" w:cs="Times New Roman"/>
          <w:sz w:val="24"/>
          <w:szCs w:val="24"/>
        </w:rPr>
        <w:t>:</w:t>
      </w:r>
    </w:p>
    <w:p w14:paraId="5B0F2593" w14:textId="77777777" w:rsidR="0066095C" w:rsidRPr="00953F4F" w:rsidRDefault="0066095C" w:rsidP="0066095C">
      <w:pPr>
        <w:pStyle w:val="Tekstprzypisudolnego"/>
        <w:spacing w:after="120"/>
        <w:jc w:val="both"/>
        <w:rPr>
          <w:rFonts w:ascii="Times New Roman" w:hAnsi="Times New Roman" w:cs="Times New Roman"/>
          <w:sz w:val="24"/>
          <w:szCs w:val="24"/>
        </w:rPr>
      </w:pPr>
      <w:r w:rsidRPr="00953F4F">
        <w:rPr>
          <w:rFonts w:ascii="Times New Roman" w:hAnsi="Times New Roman" w:cs="Times New Roman"/>
          <w:sz w:val="24"/>
          <w:szCs w:val="24"/>
        </w:rPr>
        <w:t xml:space="preserve">Opinia Rzecznika Generalnego Trybunału Sprawiedliwości V. </w:t>
      </w:r>
      <w:proofErr w:type="spellStart"/>
      <w:r w:rsidRPr="00953F4F">
        <w:rPr>
          <w:rFonts w:ascii="Times New Roman" w:hAnsi="Times New Roman" w:cs="Times New Roman"/>
          <w:sz w:val="24"/>
          <w:szCs w:val="24"/>
        </w:rPr>
        <w:t>Trstenjaka</w:t>
      </w:r>
      <w:proofErr w:type="spellEnd"/>
      <w:r w:rsidRPr="00953F4F">
        <w:rPr>
          <w:rFonts w:ascii="Times New Roman" w:hAnsi="Times New Roman" w:cs="Times New Roman"/>
          <w:sz w:val="24"/>
          <w:szCs w:val="24"/>
        </w:rPr>
        <w:t xml:space="preserve"> z 3 lutego 2011 r., C-482/09, </w:t>
      </w:r>
      <w:proofErr w:type="spellStart"/>
      <w:r w:rsidRPr="00953F4F">
        <w:rPr>
          <w:rFonts w:ascii="Times New Roman" w:hAnsi="Times New Roman" w:cs="Times New Roman"/>
          <w:i/>
          <w:iCs/>
          <w:sz w:val="24"/>
          <w:szCs w:val="24"/>
        </w:rPr>
        <w:t>Budějovický</w:t>
      </w:r>
      <w:proofErr w:type="spellEnd"/>
      <w:r w:rsidRPr="00953F4F">
        <w:rPr>
          <w:rFonts w:ascii="Times New Roman" w:hAnsi="Times New Roman" w:cs="Times New Roman"/>
          <w:i/>
          <w:iCs/>
          <w:sz w:val="24"/>
          <w:szCs w:val="24"/>
        </w:rPr>
        <w:t xml:space="preserve"> </w:t>
      </w:r>
      <w:proofErr w:type="spellStart"/>
      <w:r w:rsidRPr="00953F4F">
        <w:rPr>
          <w:rFonts w:ascii="Times New Roman" w:hAnsi="Times New Roman" w:cs="Times New Roman"/>
          <w:i/>
          <w:iCs/>
          <w:sz w:val="24"/>
          <w:szCs w:val="24"/>
        </w:rPr>
        <w:t>Budvar</w:t>
      </w:r>
      <w:proofErr w:type="spellEnd"/>
      <w:r w:rsidRPr="00953F4F">
        <w:rPr>
          <w:rFonts w:ascii="Times New Roman" w:hAnsi="Times New Roman" w:cs="Times New Roman"/>
          <w:sz w:val="24"/>
          <w:szCs w:val="24"/>
        </w:rPr>
        <w:t>, ECLI:EU:C:2011:46</w:t>
      </w:r>
    </w:p>
    <w:p w14:paraId="6F216B7D" w14:textId="77777777" w:rsidR="0066095C" w:rsidRPr="00953F4F" w:rsidRDefault="0066095C" w:rsidP="0066095C">
      <w:pPr>
        <w:spacing w:after="120"/>
        <w:rPr>
          <w:rFonts w:ascii="Times New Roman" w:hAnsi="Times New Roman" w:cs="Times New Roman"/>
        </w:rPr>
      </w:pPr>
    </w:p>
    <w:p w14:paraId="70259A9C" w14:textId="77777777" w:rsidR="0066095C" w:rsidRPr="00953F4F" w:rsidRDefault="0066095C" w:rsidP="0066095C">
      <w:pPr>
        <w:spacing w:after="120"/>
        <w:rPr>
          <w:rFonts w:ascii="Times New Roman" w:hAnsi="Times New Roman" w:cs="Times New Roman"/>
          <w:b/>
          <w:bCs/>
        </w:rPr>
      </w:pPr>
      <w:r w:rsidRPr="00953F4F">
        <w:rPr>
          <w:rFonts w:ascii="Times New Roman" w:hAnsi="Times New Roman" w:cs="Times New Roman"/>
          <w:b/>
          <w:bCs/>
        </w:rPr>
        <w:t>Inne:</w:t>
      </w:r>
    </w:p>
    <w:p w14:paraId="6DA94AC8" w14:textId="6EADDFCD" w:rsidR="0066095C" w:rsidRPr="002912D4" w:rsidRDefault="0066095C" w:rsidP="0066095C">
      <w:pPr>
        <w:spacing w:after="120"/>
        <w:rPr>
          <w:rFonts w:ascii="Times New Roman" w:hAnsi="Times New Roman" w:cs="Times New Roman"/>
        </w:rPr>
      </w:pPr>
      <w:r w:rsidRPr="00953F4F">
        <w:rPr>
          <w:rFonts w:ascii="Times New Roman" w:hAnsi="Times New Roman" w:cs="Times New Roman"/>
        </w:rPr>
        <w:t>Wytyczne dotyczące rozpatrywania spraw. Urząd Unii europejskiej Ds. Własności intelektualnej (EUIPO). 01</w:t>
      </w:r>
      <w:r w:rsidRPr="002912D4">
        <w:rPr>
          <w:rFonts w:ascii="Times New Roman" w:hAnsi="Times New Roman" w:cs="Times New Roman"/>
        </w:rPr>
        <w:t xml:space="preserve">/02/2020; tekst wytycznych dostępny przez stronę internetową: </w:t>
      </w:r>
      <w:hyperlink r:id="rId7" w:history="1">
        <w:r w:rsidRPr="002912D4">
          <w:rPr>
            <w:rStyle w:val="Hipercze"/>
            <w:rFonts w:ascii="Times New Roman" w:hAnsi="Times New Roman" w:cs="Times New Roman"/>
          </w:rPr>
          <w:t>https://guidelines.euipo.europa.eu/1916976/1866062/wytyczne-dot--</w:t>
        </w:r>
        <w:proofErr w:type="spellStart"/>
        <w:r w:rsidRPr="002912D4">
          <w:rPr>
            <w:rStyle w:val="Hipercze"/>
            <w:rFonts w:ascii="Times New Roman" w:hAnsi="Times New Roman" w:cs="Times New Roman"/>
          </w:rPr>
          <w:t>znakow</w:t>
        </w:r>
        <w:proofErr w:type="spellEnd"/>
        <w:r w:rsidRPr="002912D4">
          <w:rPr>
            <w:rStyle w:val="Hipercze"/>
            <w:rFonts w:ascii="Times New Roman" w:hAnsi="Times New Roman" w:cs="Times New Roman"/>
          </w:rPr>
          <w:t>-towarowych/4-5-3-przyzwolenie</w:t>
        </w:r>
      </w:hyperlink>
      <w:r w:rsidRPr="002912D4">
        <w:rPr>
          <w:rFonts w:ascii="Times New Roman" w:hAnsi="Times New Roman" w:cs="Times New Roman"/>
        </w:rPr>
        <w:t>, dostęp: 31 sierpnia 2025 r.</w:t>
      </w:r>
    </w:p>
    <w:p w14:paraId="4B46A920" w14:textId="109F0E61" w:rsidR="00D52535" w:rsidRPr="00953F4F" w:rsidRDefault="00D52535" w:rsidP="00D52535">
      <w:pPr>
        <w:spacing w:after="120"/>
        <w:rPr>
          <w:rFonts w:ascii="Times New Roman" w:hAnsi="Times New Roman" w:cs="Times New Roman"/>
          <w:b/>
          <w:bCs/>
        </w:rPr>
      </w:pPr>
      <w:r w:rsidRPr="002912D4">
        <w:rPr>
          <w:rFonts w:ascii="Times New Roman" w:hAnsi="Times New Roman" w:cs="Times New Roman"/>
        </w:rPr>
        <w:t>Wytyczne dotyczące rozpatrywania spraw. Urząd Unii europejskiej Ds. Własności intelektualnej (EUIPO). 01/05/2025</w:t>
      </w:r>
      <w:r w:rsidRPr="00953F4F">
        <w:rPr>
          <w:rFonts w:ascii="Times New Roman" w:hAnsi="Times New Roman" w:cs="Times New Roman"/>
        </w:rPr>
        <w:t xml:space="preserve">; tekst wytycznych dostępny przez stronę internetową: </w:t>
      </w:r>
      <w:hyperlink r:id="rId8" w:history="1">
        <w:r w:rsidRPr="00CB1624">
          <w:rPr>
            <w:rStyle w:val="Hipercze"/>
          </w:rPr>
          <w:t>https://guidelines.euipo.europa.eu/2303097/2263510/wytyczne-dot--</w:t>
        </w:r>
        <w:proofErr w:type="spellStart"/>
        <w:r w:rsidRPr="00CB1624">
          <w:rPr>
            <w:rStyle w:val="Hipercze"/>
          </w:rPr>
          <w:t>znakow</w:t>
        </w:r>
        <w:proofErr w:type="spellEnd"/>
        <w:r w:rsidRPr="00CB1624">
          <w:rPr>
            <w:rStyle w:val="Hipercze"/>
          </w:rPr>
          <w:t>-towarowych/4-5-2-przyzwolenie</w:t>
        </w:r>
      </w:hyperlink>
      <w:r w:rsidRPr="00953F4F">
        <w:rPr>
          <w:rFonts w:ascii="Times New Roman" w:hAnsi="Times New Roman" w:cs="Times New Roman"/>
        </w:rPr>
        <w:t>, dostęp: 31 sierpnia 2025 r.</w:t>
      </w:r>
    </w:p>
    <w:p w14:paraId="47B6CF97" w14:textId="77777777" w:rsidR="00D52535" w:rsidRPr="00953F4F" w:rsidRDefault="00D52535" w:rsidP="0066095C">
      <w:pPr>
        <w:spacing w:after="120"/>
        <w:rPr>
          <w:rFonts w:ascii="Times New Roman" w:hAnsi="Times New Roman" w:cs="Times New Roman"/>
          <w:b/>
          <w:bCs/>
        </w:rPr>
      </w:pPr>
    </w:p>
    <w:p w14:paraId="12A6BB18" w14:textId="77777777" w:rsidR="0066095C" w:rsidRDefault="0066095C" w:rsidP="0066095C"/>
    <w:p w14:paraId="21643281" w14:textId="77777777" w:rsidR="0066095C" w:rsidRDefault="0066095C" w:rsidP="0066095C"/>
    <w:p w14:paraId="1BF24DD7" w14:textId="77777777" w:rsidR="0066095C" w:rsidRDefault="0066095C"/>
    <w:sectPr w:rsidR="0066095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2200B" w14:textId="77777777" w:rsidR="009F1900" w:rsidRDefault="009F1900" w:rsidP="0066095C">
      <w:pPr>
        <w:spacing w:after="0" w:line="240" w:lineRule="auto"/>
      </w:pPr>
      <w:r>
        <w:separator/>
      </w:r>
    </w:p>
  </w:endnote>
  <w:endnote w:type="continuationSeparator" w:id="0">
    <w:p w14:paraId="4F035546" w14:textId="77777777" w:rsidR="009F1900" w:rsidRDefault="009F1900" w:rsidP="0066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026737"/>
      <w:docPartObj>
        <w:docPartGallery w:val="Page Numbers (Bottom of Page)"/>
        <w:docPartUnique/>
      </w:docPartObj>
    </w:sdtPr>
    <w:sdtEndPr/>
    <w:sdtContent>
      <w:p w14:paraId="6FA00D2D" w14:textId="77777777" w:rsidR="00B42CF7" w:rsidRPr="002F2BA4" w:rsidRDefault="00901577">
        <w:pPr>
          <w:pStyle w:val="Stopka"/>
          <w:jc w:val="right"/>
        </w:pPr>
        <w:r w:rsidRPr="002F2BA4">
          <w:fldChar w:fldCharType="begin"/>
        </w:r>
        <w:r w:rsidRPr="002F2BA4">
          <w:instrText>PAGE   \* MERGEFORMAT</w:instrText>
        </w:r>
        <w:r w:rsidRPr="002F2BA4">
          <w:fldChar w:fldCharType="separate"/>
        </w:r>
        <w:r w:rsidRPr="002F2BA4">
          <w:t>2</w:t>
        </w:r>
        <w:r w:rsidRPr="002F2BA4">
          <w:fldChar w:fldCharType="end"/>
        </w:r>
      </w:p>
    </w:sdtContent>
  </w:sdt>
  <w:p w14:paraId="6A266591" w14:textId="77777777" w:rsidR="00B42CF7" w:rsidRPr="002F2BA4" w:rsidRDefault="00B42C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70BB9" w14:textId="77777777" w:rsidR="009F1900" w:rsidRDefault="009F1900" w:rsidP="0066095C">
      <w:pPr>
        <w:spacing w:after="0" w:line="240" w:lineRule="auto"/>
      </w:pPr>
      <w:r>
        <w:separator/>
      </w:r>
    </w:p>
  </w:footnote>
  <w:footnote w:type="continuationSeparator" w:id="0">
    <w:p w14:paraId="7FE46190" w14:textId="77777777" w:rsidR="009F1900" w:rsidRDefault="009F1900" w:rsidP="0066095C">
      <w:pPr>
        <w:spacing w:after="0" w:line="240" w:lineRule="auto"/>
      </w:pPr>
      <w:r>
        <w:continuationSeparator/>
      </w:r>
    </w:p>
  </w:footnote>
  <w:footnote w:id="1">
    <w:p w14:paraId="7245F294"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Rozporządzenie Parlamentu Europejskiego i Rady (UE) nr 2017/1001 z dnia 14 czerwca 2017 r. w sprawie znaku towarowego Unii Europejskiej (</w:t>
      </w:r>
      <w:proofErr w:type="spellStart"/>
      <w:r w:rsidRPr="00953F4F">
        <w:rPr>
          <w:rFonts w:ascii="Times New Roman" w:hAnsi="Times New Roman" w:cs="Times New Roman"/>
        </w:rPr>
        <w:t>Dz.Urz.UE.L</w:t>
      </w:r>
      <w:proofErr w:type="spellEnd"/>
      <w:r w:rsidRPr="00953F4F">
        <w:rPr>
          <w:rFonts w:ascii="Times New Roman" w:hAnsi="Times New Roman" w:cs="Times New Roman"/>
        </w:rPr>
        <w:t xml:space="preserve"> 2017 Nr 154, s. 1), dalej: rozporządzenie 2017/1001.</w:t>
      </w:r>
    </w:p>
  </w:footnote>
  <w:footnote w:id="2">
    <w:p w14:paraId="00780B76"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Rozporządzenie Rady (WE) nr 40/94 z dnia 20 grudnia 1993 r. w sprawie wspólnotowego znaku towarowego (</w:t>
      </w:r>
      <w:proofErr w:type="spellStart"/>
      <w:r w:rsidRPr="00953F4F">
        <w:rPr>
          <w:rFonts w:ascii="Times New Roman" w:hAnsi="Times New Roman" w:cs="Times New Roman"/>
        </w:rPr>
        <w:t>Dz.Urz.UE.L</w:t>
      </w:r>
      <w:proofErr w:type="spellEnd"/>
      <w:r w:rsidRPr="00953F4F">
        <w:rPr>
          <w:rFonts w:ascii="Times New Roman" w:hAnsi="Times New Roman" w:cs="Times New Roman"/>
        </w:rPr>
        <w:t xml:space="preserve"> 1994 Nr 11, s. 1).</w:t>
      </w:r>
    </w:p>
  </w:footnote>
  <w:footnote w:id="3">
    <w:p w14:paraId="185C4C5E"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Dyrektywa Parlamentu Europejskiego i Rady (UE) nr 2015/2436 z dnia 16 grudnia 2015 r. mająca na celu zbliżenie ustawodawstw państw członkowskich odnoszących się do znaków towarowych (wersja przekształcona) (</w:t>
      </w:r>
      <w:proofErr w:type="spellStart"/>
      <w:r w:rsidRPr="00953F4F">
        <w:rPr>
          <w:rFonts w:ascii="Times New Roman" w:hAnsi="Times New Roman" w:cs="Times New Roman"/>
        </w:rPr>
        <w:t>Dz.Urz.UE.L</w:t>
      </w:r>
      <w:proofErr w:type="spellEnd"/>
      <w:r w:rsidRPr="00953F4F">
        <w:rPr>
          <w:rFonts w:ascii="Times New Roman" w:hAnsi="Times New Roman" w:cs="Times New Roman"/>
        </w:rPr>
        <w:t xml:space="preserve"> 2015 Nr 336, s. 1), dalej: dyrektywa 2015/2436.</w:t>
      </w:r>
    </w:p>
  </w:footnote>
  <w:footnote w:id="4">
    <w:p w14:paraId="27EA62DB"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Ustawa z dnia 30 czerwca 2000 r. - Prawo własności przemysłowej (</w:t>
      </w:r>
      <w:proofErr w:type="spellStart"/>
      <w:r w:rsidRPr="00953F4F">
        <w:rPr>
          <w:rFonts w:ascii="Times New Roman" w:hAnsi="Times New Roman" w:cs="Times New Roman"/>
        </w:rPr>
        <w:t>t.j</w:t>
      </w:r>
      <w:proofErr w:type="spellEnd"/>
      <w:r w:rsidRPr="00953F4F">
        <w:rPr>
          <w:rFonts w:ascii="Times New Roman" w:hAnsi="Times New Roman" w:cs="Times New Roman"/>
        </w:rPr>
        <w:t xml:space="preserve">. Dz.U. z 2023 r. poz. 1170, dalej: </w:t>
      </w:r>
      <w:proofErr w:type="spellStart"/>
      <w:r w:rsidRPr="00953F4F">
        <w:rPr>
          <w:rFonts w:ascii="Times New Roman" w:hAnsi="Times New Roman" w:cs="Times New Roman"/>
        </w:rPr>
        <w:t>p.w.p</w:t>
      </w:r>
      <w:proofErr w:type="spellEnd"/>
      <w:r w:rsidRPr="00953F4F">
        <w:rPr>
          <w:rFonts w:ascii="Times New Roman" w:hAnsi="Times New Roman" w:cs="Times New Roman"/>
        </w:rPr>
        <w:t>.</w:t>
      </w:r>
    </w:p>
  </w:footnote>
  <w:footnote w:id="5">
    <w:p w14:paraId="65DF2D15"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Rozporządzenie Parlamentu Europejskiego i Rady (UE) nr 2015/2424 z dnia 16 grudnia 2015 r. zmieniające rozporządzenie Rady (WE) nr 207/2009 w sprawie wspólnotowego znaku towarowego i rozporządzenie Komisji (WE) nr 2868/95 wykonujące rozporządzenie Rady (WE) nr 40/94 w sprawie wspólnotowego znaku towarowego oraz uchylające rozporządzenie Komisji (WE) nr 2869/95 w sprawie opłat na rzecz Urzędu Harmonizacji w ramach Rynku Wewnętrznego (znaki towarowe i wzory) (</w:t>
      </w:r>
      <w:proofErr w:type="spellStart"/>
      <w:r w:rsidRPr="00953F4F">
        <w:rPr>
          <w:rFonts w:ascii="Times New Roman" w:hAnsi="Times New Roman" w:cs="Times New Roman"/>
        </w:rPr>
        <w:t>Dz.Urz.UE.L</w:t>
      </w:r>
      <w:proofErr w:type="spellEnd"/>
      <w:r w:rsidRPr="00953F4F">
        <w:rPr>
          <w:rFonts w:ascii="Times New Roman" w:hAnsi="Times New Roman" w:cs="Times New Roman"/>
        </w:rPr>
        <w:t xml:space="preserve"> 2015 Nr 341, s. 21).</w:t>
      </w:r>
    </w:p>
  </w:footnote>
  <w:footnote w:id="6">
    <w:p w14:paraId="55A34DDB" w14:textId="75DA9C25" w:rsidR="002A7A54" w:rsidRPr="002A7A54" w:rsidRDefault="002A7A54" w:rsidP="002A7A54">
      <w:pPr>
        <w:pStyle w:val="Tekstprzypisudolnego"/>
        <w:jc w:val="both"/>
      </w:pPr>
      <w:r>
        <w:rPr>
          <w:rStyle w:val="Odwoanieprzypisudolnego"/>
        </w:rPr>
        <w:footnoteRef/>
      </w:r>
      <w:r>
        <w:t xml:space="preserve"> Do prawa krajowego przepis ten został wdrożony art. 1 pkt 45 f) ustawą o zmianie ustawy – Prawo własności przemysłowej </w:t>
      </w:r>
      <w:r w:rsidRPr="002A7A54">
        <w:t>z dnia 20 lutego 2019 r. (Dz.U. z 2019 r. poz. 501)</w:t>
      </w:r>
      <w:r>
        <w:t xml:space="preserve">, która weszła w życie 16 marca 2019 r., poprzez dodanie w art. 296 </w:t>
      </w:r>
      <w:proofErr w:type="spellStart"/>
      <w:r>
        <w:t>p.w.p</w:t>
      </w:r>
      <w:proofErr w:type="spellEnd"/>
      <w:r>
        <w:t>. ustępu 3</w:t>
      </w:r>
      <w:r>
        <w:rPr>
          <w:vertAlign w:val="superscript"/>
        </w:rPr>
        <w:t>1</w:t>
      </w:r>
      <w:r>
        <w:t>.</w:t>
      </w:r>
    </w:p>
  </w:footnote>
  <w:footnote w:id="7">
    <w:p w14:paraId="3DD165B1"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Pierwsza dyrektywa Rady z dnia 21 grudnia 1988 r. mająca na celu zbliżenie ustawodawstw Państw Członkowskich odnoszących się do znaków towarowych (</w:t>
      </w:r>
      <w:proofErr w:type="spellStart"/>
      <w:r w:rsidRPr="00953F4F">
        <w:rPr>
          <w:rFonts w:ascii="Times New Roman" w:hAnsi="Times New Roman" w:cs="Times New Roman"/>
        </w:rPr>
        <w:t>Dz.Urz.UE.L</w:t>
      </w:r>
      <w:proofErr w:type="spellEnd"/>
      <w:r w:rsidRPr="00953F4F">
        <w:rPr>
          <w:rFonts w:ascii="Times New Roman" w:hAnsi="Times New Roman" w:cs="Times New Roman"/>
        </w:rPr>
        <w:t xml:space="preserve"> 1989 Nr 40, s. 1).</w:t>
      </w:r>
    </w:p>
  </w:footnote>
  <w:footnote w:id="8">
    <w:p w14:paraId="25371E67" w14:textId="7D10558B" w:rsidR="0066095C" w:rsidRPr="009312AD" w:rsidRDefault="0066095C" w:rsidP="0066095C">
      <w:pPr>
        <w:pStyle w:val="Tekstprzypisudolnego"/>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w:t>
      </w:r>
      <w:r w:rsidR="00170712">
        <w:rPr>
          <w:rFonts w:ascii="Times New Roman" w:hAnsi="Times New Roman" w:cs="Times New Roman"/>
        </w:rPr>
        <w:t>Zob</w:t>
      </w:r>
      <w:r w:rsidRPr="00953F4F">
        <w:rPr>
          <w:rFonts w:ascii="Times New Roman" w:hAnsi="Times New Roman" w:cs="Times New Roman"/>
        </w:rPr>
        <w:t xml:space="preserve">. </w:t>
      </w:r>
      <w:r w:rsidRPr="00521E1F">
        <w:rPr>
          <w:rFonts w:ascii="Times New Roman" w:hAnsi="Times New Roman" w:cs="Times New Roman"/>
        </w:rPr>
        <w:t>wyrok Sądu Najwyższego z 25 lipca 2024 r., II CSKP 1337/22</w:t>
      </w:r>
      <w:r w:rsidR="009312AD" w:rsidRPr="00521E1F">
        <w:rPr>
          <w:rFonts w:ascii="Times New Roman" w:hAnsi="Times New Roman" w:cs="Times New Roman"/>
        </w:rPr>
        <w:t>, dotyczący niedopuszczalności</w:t>
      </w:r>
      <w:r w:rsidR="009312AD">
        <w:rPr>
          <w:rFonts w:ascii="Times New Roman" w:hAnsi="Times New Roman" w:cs="Times New Roman"/>
        </w:rPr>
        <w:t xml:space="preserve"> wstecznego stosowania art. 296 ust. 3</w:t>
      </w:r>
      <w:r w:rsidR="009312AD">
        <w:rPr>
          <w:rFonts w:ascii="Times New Roman" w:hAnsi="Times New Roman" w:cs="Times New Roman"/>
          <w:vertAlign w:val="superscript"/>
        </w:rPr>
        <w:t xml:space="preserve">1 </w:t>
      </w:r>
      <w:proofErr w:type="spellStart"/>
      <w:r w:rsidR="009312AD">
        <w:rPr>
          <w:rFonts w:ascii="Times New Roman" w:hAnsi="Times New Roman" w:cs="Times New Roman"/>
        </w:rPr>
        <w:t>p.w.p</w:t>
      </w:r>
      <w:proofErr w:type="spellEnd"/>
      <w:r w:rsidR="009312AD">
        <w:rPr>
          <w:rFonts w:ascii="Times New Roman" w:hAnsi="Times New Roman" w:cs="Times New Roman"/>
        </w:rPr>
        <w:t>.</w:t>
      </w:r>
      <w:r w:rsidR="00170712">
        <w:rPr>
          <w:rFonts w:ascii="Times New Roman" w:hAnsi="Times New Roman" w:cs="Times New Roman"/>
        </w:rPr>
        <w:t xml:space="preserve">, wskazujący jednocześnie, że </w:t>
      </w:r>
      <w:r w:rsidR="00170712" w:rsidRPr="00170712">
        <w:rPr>
          <w:rFonts w:ascii="Times New Roman" w:hAnsi="Times New Roman" w:cs="Times New Roman"/>
        </w:rPr>
        <w:t>przynajmniej niektó</w:t>
      </w:r>
      <w:r w:rsidR="00170712">
        <w:rPr>
          <w:rFonts w:ascii="Times New Roman" w:hAnsi="Times New Roman" w:cs="Times New Roman"/>
        </w:rPr>
        <w:t>re</w:t>
      </w:r>
      <w:r w:rsidR="00170712" w:rsidRPr="00170712">
        <w:rPr>
          <w:rFonts w:ascii="Times New Roman" w:hAnsi="Times New Roman" w:cs="Times New Roman"/>
        </w:rPr>
        <w:t xml:space="preserve"> przewidzian</w:t>
      </w:r>
      <w:r w:rsidR="00170712">
        <w:rPr>
          <w:rFonts w:ascii="Times New Roman" w:hAnsi="Times New Roman" w:cs="Times New Roman"/>
        </w:rPr>
        <w:t xml:space="preserve">e </w:t>
      </w:r>
      <w:r w:rsidR="00170712" w:rsidRPr="00170712">
        <w:rPr>
          <w:rFonts w:ascii="Times New Roman" w:hAnsi="Times New Roman" w:cs="Times New Roman"/>
        </w:rPr>
        <w:t>w nim zasad</w:t>
      </w:r>
      <w:r w:rsidR="00170712">
        <w:rPr>
          <w:rFonts w:ascii="Times New Roman" w:hAnsi="Times New Roman" w:cs="Times New Roman"/>
        </w:rPr>
        <w:t>y</w:t>
      </w:r>
      <w:r w:rsidR="00170712" w:rsidRPr="00170712">
        <w:rPr>
          <w:rFonts w:ascii="Times New Roman" w:hAnsi="Times New Roman" w:cs="Times New Roman"/>
        </w:rPr>
        <w:t xml:space="preserve"> da się wywieść z przepisów obowiązujących uprzednio.</w:t>
      </w:r>
      <w:r w:rsidR="00170712">
        <w:rPr>
          <w:rFonts w:ascii="Times New Roman" w:hAnsi="Times New Roman" w:cs="Times New Roman"/>
        </w:rPr>
        <w:t xml:space="preserve"> Sąd Najwyższy nie rozważał tej kwestii jednak </w:t>
      </w:r>
      <w:r w:rsidR="00521E1F">
        <w:rPr>
          <w:rFonts w:ascii="Times New Roman" w:hAnsi="Times New Roman" w:cs="Times New Roman"/>
        </w:rPr>
        <w:t>bardziej</w:t>
      </w:r>
      <w:r w:rsidR="00170712">
        <w:rPr>
          <w:rFonts w:ascii="Times New Roman" w:hAnsi="Times New Roman" w:cs="Times New Roman"/>
        </w:rPr>
        <w:t xml:space="preserve"> szczegółowo, z uwagi na brak zarzutu pozwalającego na analizę tej kwestii. </w:t>
      </w:r>
      <w:r w:rsidR="00521E1F">
        <w:rPr>
          <w:rFonts w:ascii="Times New Roman" w:hAnsi="Times New Roman" w:cs="Times New Roman"/>
        </w:rPr>
        <w:t xml:space="preserve">Przykładem regulacji, która w określonych stanach faktycznych mogłaby być rozważana jest art. 5 Kodeksu Cywilnego </w:t>
      </w:r>
      <w:r w:rsidR="00521E1F" w:rsidRPr="00521E1F">
        <w:rPr>
          <w:rFonts w:ascii="Times New Roman" w:hAnsi="Times New Roman" w:cs="Times New Roman"/>
        </w:rPr>
        <w:t xml:space="preserve">z dnia 23 kwietnia 1964 r. </w:t>
      </w:r>
      <w:r w:rsidR="00521E1F">
        <w:rPr>
          <w:rFonts w:ascii="Times New Roman" w:hAnsi="Times New Roman" w:cs="Times New Roman"/>
        </w:rPr>
        <w:t>(</w:t>
      </w:r>
      <w:proofErr w:type="spellStart"/>
      <w:r w:rsidR="00521E1F" w:rsidRPr="00521E1F">
        <w:rPr>
          <w:rFonts w:ascii="Times New Roman" w:hAnsi="Times New Roman" w:cs="Times New Roman"/>
        </w:rPr>
        <w:t>t.j</w:t>
      </w:r>
      <w:proofErr w:type="spellEnd"/>
      <w:r w:rsidR="00521E1F" w:rsidRPr="00521E1F">
        <w:rPr>
          <w:rFonts w:ascii="Times New Roman" w:hAnsi="Times New Roman" w:cs="Times New Roman"/>
        </w:rPr>
        <w:t>. Dz.U. z 2025 r. poz. 1071</w:t>
      </w:r>
      <w:r w:rsidR="00521E1F">
        <w:rPr>
          <w:rFonts w:ascii="Times New Roman" w:hAnsi="Times New Roman" w:cs="Times New Roman"/>
        </w:rPr>
        <w:t>).</w:t>
      </w:r>
    </w:p>
  </w:footnote>
  <w:footnote w:id="9">
    <w:p w14:paraId="4E962CDC"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Wyrok Sądu UE z 6 listopada 2024 r., T-136/23,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Luxury</w:t>
      </w:r>
      <w:proofErr w:type="spellEnd"/>
      <w:r w:rsidRPr="00953F4F">
        <w:rPr>
          <w:rFonts w:ascii="Times New Roman" w:hAnsi="Times New Roman" w:cs="Times New Roman"/>
          <w:i/>
          <w:iCs/>
        </w:rPr>
        <w:t xml:space="preserve"> Wine </w:t>
      </w:r>
      <w:proofErr w:type="spellStart"/>
      <w:r w:rsidRPr="00953F4F">
        <w:rPr>
          <w:rFonts w:ascii="Times New Roman" w:hAnsi="Times New Roman" w:cs="Times New Roman"/>
          <w:i/>
          <w:iCs/>
        </w:rPr>
        <w:t>Specialists</w:t>
      </w:r>
      <w:proofErr w:type="spellEnd"/>
      <w:r w:rsidRPr="00953F4F">
        <w:rPr>
          <w:rFonts w:ascii="Times New Roman" w:hAnsi="Times New Roman" w:cs="Times New Roman"/>
          <w:i/>
          <w:iCs/>
        </w:rPr>
        <w:t xml:space="preserve"> przeciwko EUIPO - Grande Vitae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w:t>
      </w:r>
      <w:r w:rsidRPr="00953F4F">
        <w:rPr>
          <w:rFonts w:ascii="Times New Roman" w:hAnsi="Times New Roman" w:cs="Times New Roman"/>
        </w:rPr>
        <w:t>, ECLI:EU:T:2024:779, pkt 48 i powołany tam wyrok Sądu UE z 20 kwietnia 2016 r., T</w:t>
      </w:r>
      <w:r w:rsidRPr="00953F4F">
        <w:rPr>
          <w:rFonts w:ascii="Times New Roman" w:hAnsi="Times New Roman" w:cs="Times New Roman"/>
        </w:rPr>
        <w:noBreakHyphen/>
        <w:t>77/15</w:t>
      </w:r>
      <w:r w:rsidRPr="00953F4F">
        <w:rPr>
          <w:rFonts w:ascii="Times New Roman" w:hAnsi="Times New Roman" w:cs="Times New Roman"/>
          <w:i/>
          <w:iCs/>
        </w:rPr>
        <w:t xml:space="preserve">, </w:t>
      </w:r>
      <w:proofErr w:type="spellStart"/>
      <w:r w:rsidRPr="00953F4F">
        <w:rPr>
          <w:rFonts w:ascii="Times New Roman" w:hAnsi="Times New Roman" w:cs="Times New Roman"/>
          <w:i/>
          <w:iCs/>
        </w:rPr>
        <w:t>Tronios</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Group</w:t>
      </w:r>
      <w:proofErr w:type="spellEnd"/>
      <w:r w:rsidRPr="00953F4F">
        <w:rPr>
          <w:rFonts w:ascii="Times New Roman" w:hAnsi="Times New Roman" w:cs="Times New Roman"/>
          <w:i/>
          <w:iCs/>
        </w:rPr>
        <w:t xml:space="preserve"> International v EUIPO - </w:t>
      </w:r>
      <w:proofErr w:type="spellStart"/>
      <w:r w:rsidRPr="00953F4F">
        <w:rPr>
          <w:rFonts w:ascii="Times New Roman" w:hAnsi="Times New Roman" w:cs="Times New Roman"/>
          <w:i/>
          <w:iCs/>
        </w:rPr>
        <w:t>Sky</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SkyTec</w:t>
      </w:r>
      <w:proofErr w:type="spellEnd"/>
      <w:r w:rsidRPr="00953F4F">
        <w:rPr>
          <w:rFonts w:ascii="Times New Roman" w:hAnsi="Times New Roman" w:cs="Times New Roman"/>
          <w:i/>
          <w:iCs/>
        </w:rPr>
        <w:t>),</w:t>
      </w:r>
      <w:r w:rsidRPr="00953F4F">
        <w:rPr>
          <w:rFonts w:ascii="Times New Roman" w:hAnsi="Times New Roman" w:cs="Times New Roman"/>
        </w:rPr>
        <w:t xml:space="preserve"> ECLI:EU:T:2016:226, pkt 31.</w:t>
      </w:r>
    </w:p>
  </w:footnote>
  <w:footnote w:id="10">
    <w:p w14:paraId="7243CCC9" w14:textId="77777777" w:rsidR="0066095C" w:rsidRPr="00953F4F" w:rsidRDefault="0066095C" w:rsidP="0066095C">
      <w:pPr>
        <w:pStyle w:val="Tekstprzypisudolnego"/>
        <w:jc w:val="both"/>
        <w:rPr>
          <w:rFonts w:ascii="Times New Roman" w:hAnsi="Times New Roman" w:cs="Times New Roman"/>
          <w:i/>
          <w:iCs/>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w:t>
      </w:r>
      <w:r w:rsidRPr="00953F4F">
        <w:rPr>
          <w:rFonts w:ascii="Times New Roman" w:hAnsi="Times New Roman" w:cs="Times New Roman"/>
          <w:i/>
          <w:iCs/>
        </w:rPr>
        <w:t>Ibidem.</w:t>
      </w:r>
    </w:p>
  </w:footnote>
  <w:footnote w:id="11">
    <w:p w14:paraId="2E142532"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Wyrok Sądu UE z 6 listopada 2024 r., T-136/23,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Luxury</w:t>
      </w:r>
      <w:proofErr w:type="spellEnd"/>
      <w:r w:rsidRPr="00953F4F">
        <w:rPr>
          <w:rFonts w:ascii="Times New Roman" w:hAnsi="Times New Roman" w:cs="Times New Roman"/>
          <w:i/>
          <w:iCs/>
        </w:rPr>
        <w:t xml:space="preserve"> Wine </w:t>
      </w:r>
      <w:proofErr w:type="spellStart"/>
      <w:r w:rsidRPr="00953F4F">
        <w:rPr>
          <w:rFonts w:ascii="Times New Roman" w:hAnsi="Times New Roman" w:cs="Times New Roman"/>
          <w:i/>
          <w:iCs/>
        </w:rPr>
        <w:t>Specialists</w:t>
      </w:r>
      <w:proofErr w:type="spellEnd"/>
      <w:r w:rsidRPr="00953F4F">
        <w:rPr>
          <w:rFonts w:ascii="Times New Roman" w:hAnsi="Times New Roman" w:cs="Times New Roman"/>
          <w:i/>
          <w:iCs/>
        </w:rPr>
        <w:t xml:space="preserve"> przeciwko EUIPO - Grande Vitae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w:t>
      </w:r>
      <w:r w:rsidRPr="00953F4F">
        <w:rPr>
          <w:rFonts w:ascii="Times New Roman" w:hAnsi="Times New Roman" w:cs="Times New Roman"/>
        </w:rPr>
        <w:t>, ECLI:EU:T:2024:779, pkt 49 i powołany tam wyrok Sądu UE z 20 kwietnia 2016 r., T</w:t>
      </w:r>
      <w:r w:rsidRPr="00953F4F">
        <w:rPr>
          <w:rFonts w:ascii="Times New Roman" w:hAnsi="Times New Roman" w:cs="Times New Roman"/>
        </w:rPr>
        <w:noBreakHyphen/>
        <w:t xml:space="preserve">77/15, </w:t>
      </w:r>
      <w:proofErr w:type="spellStart"/>
      <w:r w:rsidRPr="00953F4F">
        <w:rPr>
          <w:rFonts w:ascii="Times New Roman" w:hAnsi="Times New Roman" w:cs="Times New Roman"/>
          <w:i/>
          <w:iCs/>
        </w:rPr>
        <w:t>Tronios</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Group</w:t>
      </w:r>
      <w:proofErr w:type="spellEnd"/>
      <w:r w:rsidRPr="00953F4F">
        <w:rPr>
          <w:rFonts w:ascii="Times New Roman" w:hAnsi="Times New Roman" w:cs="Times New Roman"/>
          <w:i/>
          <w:iCs/>
        </w:rPr>
        <w:t xml:space="preserve"> International v EUIPO - </w:t>
      </w:r>
      <w:proofErr w:type="spellStart"/>
      <w:r w:rsidRPr="00953F4F">
        <w:rPr>
          <w:rFonts w:ascii="Times New Roman" w:hAnsi="Times New Roman" w:cs="Times New Roman"/>
          <w:i/>
          <w:iCs/>
        </w:rPr>
        <w:t>Sky</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SkyTec</w:t>
      </w:r>
      <w:proofErr w:type="spellEnd"/>
      <w:r w:rsidRPr="00953F4F">
        <w:rPr>
          <w:rFonts w:ascii="Times New Roman" w:hAnsi="Times New Roman" w:cs="Times New Roman"/>
          <w:i/>
          <w:iCs/>
        </w:rPr>
        <w:t>),</w:t>
      </w:r>
      <w:r w:rsidRPr="00953F4F">
        <w:rPr>
          <w:rFonts w:ascii="Times New Roman" w:hAnsi="Times New Roman" w:cs="Times New Roman"/>
        </w:rPr>
        <w:t xml:space="preserve"> ECLI:EU:T:2016:226, pkt 32.</w:t>
      </w:r>
    </w:p>
  </w:footnote>
  <w:footnote w:id="12">
    <w:p w14:paraId="55E3B179"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Wyrok Sądu UE z 6 listopada 2024 r., T-136/23,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Luxury</w:t>
      </w:r>
      <w:proofErr w:type="spellEnd"/>
      <w:r w:rsidRPr="00953F4F">
        <w:rPr>
          <w:rFonts w:ascii="Times New Roman" w:hAnsi="Times New Roman" w:cs="Times New Roman"/>
          <w:i/>
          <w:iCs/>
        </w:rPr>
        <w:t xml:space="preserve"> Wine </w:t>
      </w:r>
      <w:proofErr w:type="spellStart"/>
      <w:r w:rsidRPr="00953F4F">
        <w:rPr>
          <w:rFonts w:ascii="Times New Roman" w:hAnsi="Times New Roman" w:cs="Times New Roman"/>
          <w:i/>
          <w:iCs/>
        </w:rPr>
        <w:t>Specialists</w:t>
      </w:r>
      <w:proofErr w:type="spellEnd"/>
      <w:r w:rsidRPr="00953F4F">
        <w:rPr>
          <w:rFonts w:ascii="Times New Roman" w:hAnsi="Times New Roman" w:cs="Times New Roman"/>
          <w:i/>
          <w:iCs/>
        </w:rPr>
        <w:t xml:space="preserve"> przeciwko EUIPO - Grande Vitae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w:t>
      </w:r>
      <w:r w:rsidRPr="00953F4F">
        <w:rPr>
          <w:rFonts w:ascii="Times New Roman" w:hAnsi="Times New Roman" w:cs="Times New Roman"/>
        </w:rPr>
        <w:t>, ECLI:EU:T:2024:779, pkt 50 i powołany tam wyrok Sądu UE z 20 kwietnia 2016 r., T</w:t>
      </w:r>
      <w:r w:rsidRPr="00953F4F">
        <w:rPr>
          <w:rFonts w:ascii="Times New Roman" w:hAnsi="Times New Roman" w:cs="Times New Roman"/>
        </w:rPr>
        <w:noBreakHyphen/>
        <w:t xml:space="preserve">77/15, </w:t>
      </w:r>
      <w:proofErr w:type="spellStart"/>
      <w:r w:rsidRPr="00953F4F">
        <w:rPr>
          <w:rFonts w:ascii="Times New Roman" w:hAnsi="Times New Roman" w:cs="Times New Roman"/>
          <w:i/>
          <w:iCs/>
        </w:rPr>
        <w:t>Tronios</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Group</w:t>
      </w:r>
      <w:proofErr w:type="spellEnd"/>
      <w:r w:rsidRPr="00953F4F">
        <w:rPr>
          <w:rFonts w:ascii="Times New Roman" w:hAnsi="Times New Roman" w:cs="Times New Roman"/>
          <w:i/>
          <w:iCs/>
        </w:rPr>
        <w:t xml:space="preserve"> International v EUIPO - </w:t>
      </w:r>
      <w:proofErr w:type="spellStart"/>
      <w:r w:rsidRPr="00953F4F">
        <w:rPr>
          <w:rFonts w:ascii="Times New Roman" w:hAnsi="Times New Roman" w:cs="Times New Roman"/>
          <w:i/>
          <w:iCs/>
        </w:rPr>
        <w:t>Sky</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SkyTec</w:t>
      </w:r>
      <w:proofErr w:type="spellEnd"/>
      <w:r w:rsidRPr="00953F4F">
        <w:rPr>
          <w:rFonts w:ascii="Times New Roman" w:hAnsi="Times New Roman" w:cs="Times New Roman"/>
          <w:i/>
          <w:iCs/>
        </w:rPr>
        <w:t>),</w:t>
      </w:r>
      <w:r w:rsidRPr="00953F4F">
        <w:rPr>
          <w:rFonts w:ascii="Times New Roman" w:hAnsi="Times New Roman" w:cs="Times New Roman"/>
        </w:rPr>
        <w:t xml:space="preserve"> ECLI:EU:T:2016:226, pkt 33 oraz wyrok Trybunału Sprawiedliwości z 22 września 2011 r., C</w:t>
      </w:r>
      <w:r w:rsidRPr="00953F4F">
        <w:rPr>
          <w:rFonts w:ascii="Times New Roman" w:hAnsi="Times New Roman" w:cs="Times New Roman"/>
        </w:rPr>
        <w:noBreakHyphen/>
        <w:t>482/09</w:t>
      </w:r>
      <w:r w:rsidRPr="00953F4F">
        <w:rPr>
          <w:rFonts w:ascii="Times New Roman" w:hAnsi="Times New Roman" w:cs="Times New Roman"/>
          <w:i/>
          <w:iCs/>
        </w:rPr>
        <w:t xml:space="preserve">, </w:t>
      </w:r>
      <w:proofErr w:type="spellStart"/>
      <w:r w:rsidRPr="00953F4F">
        <w:rPr>
          <w:rFonts w:ascii="Times New Roman" w:hAnsi="Times New Roman" w:cs="Times New Roman"/>
          <w:i/>
          <w:iCs/>
        </w:rPr>
        <w:t>Budějovický</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Budvar</w:t>
      </w:r>
      <w:proofErr w:type="spellEnd"/>
      <w:r w:rsidRPr="00953F4F">
        <w:rPr>
          <w:rFonts w:ascii="Times New Roman" w:hAnsi="Times New Roman" w:cs="Times New Roman"/>
        </w:rPr>
        <w:t>, ECLI:EU:C:2011:605, pkt 82.</w:t>
      </w:r>
    </w:p>
  </w:footnote>
  <w:footnote w:id="13">
    <w:p w14:paraId="1B1C65A5"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Wyrok Sądu UE z 6 listopada 2024 r., T-136/23,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Luxury</w:t>
      </w:r>
      <w:proofErr w:type="spellEnd"/>
      <w:r w:rsidRPr="00953F4F">
        <w:rPr>
          <w:rFonts w:ascii="Times New Roman" w:hAnsi="Times New Roman" w:cs="Times New Roman"/>
          <w:i/>
          <w:iCs/>
        </w:rPr>
        <w:t xml:space="preserve"> Wine </w:t>
      </w:r>
      <w:proofErr w:type="spellStart"/>
      <w:r w:rsidRPr="00953F4F">
        <w:rPr>
          <w:rFonts w:ascii="Times New Roman" w:hAnsi="Times New Roman" w:cs="Times New Roman"/>
          <w:i/>
          <w:iCs/>
        </w:rPr>
        <w:t>Specialists</w:t>
      </w:r>
      <w:proofErr w:type="spellEnd"/>
      <w:r w:rsidRPr="00953F4F">
        <w:rPr>
          <w:rFonts w:ascii="Times New Roman" w:hAnsi="Times New Roman" w:cs="Times New Roman"/>
          <w:i/>
          <w:iCs/>
        </w:rPr>
        <w:t xml:space="preserve"> przeciwko EUIPO - Grande Vitae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w:t>
      </w:r>
      <w:r w:rsidRPr="00953F4F">
        <w:rPr>
          <w:rFonts w:ascii="Times New Roman" w:hAnsi="Times New Roman" w:cs="Times New Roman"/>
        </w:rPr>
        <w:t xml:space="preserve"> ECLI:EU:T:2024:779, pkt 51 i powołany tam przez analogię wyrok Sądu UE z 20 kwietnia 2016 r., T</w:t>
      </w:r>
      <w:r w:rsidRPr="00953F4F">
        <w:rPr>
          <w:rFonts w:ascii="Times New Roman" w:hAnsi="Times New Roman" w:cs="Times New Roman"/>
        </w:rPr>
        <w:noBreakHyphen/>
        <w:t xml:space="preserve">77/15, </w:t>
      </w:r>
      <w:proofErr w:type="spellStart"/>
      <w:r w:rsidRPr="00953F4F">
        <w:rPr>
          <w:rFonts w:ascii="Times New Roman" w:hAnsi="Times New Roman" w:cs="Times New Roman"/>
          <w:i/>
          <w:iCs/>
        </w:rPr>
        <w:t>Tronios</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Group</w:t>
      </w:r>
      <w:proofErr w:type="spellEnd"/>
      <w:r w:rsidRPr="00953F4F">
        <w:rPr>
          <w:rFonts w:ascii="Times New Roman" w:hAnsi="Times New Roman" w:cs="Times New Roman"/>
          <w:i/>
          <w:iCs/>
        </w:rPr>
        <w:t xml:space="preserve"> International v EUIPO - </w:t>
      </w:r>
      <w:proofErr w:type="spellStart"/>
      <w:r w:rsidRPr="00953F4F">
        <w:rPr>
          <w:rFonts w:ascii="Times New Roman" w:hAnsi="Times New Roman" w:cs="Times New Roman"/>
          <w:i/>
          <w:iCs/>
        </w:rPr>
        <w:t>Sky</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SkyTec</w:t>
      </w:r>
      <w:proofErr w:type="spellEnd"/>
      <w:r w:rsidRPr="00953F4F">
        <w:rPr>
          <w:rFonts w:ascii="Times New Roman" w:hAnsi="Times New Roman" w:cs="Times New Roman"/>
          <w:i/>
          <w:iCs/>
        </w:rPr>
        <w:t>),</w:t>
      </w:r>
      <w:r w:rsidRPr="00953F4F">
        <w:rPr>
          <w:rFonts w:ascii="Times New Roman" w:hAnsi="Times New Roman" w:cs="Times New Roman"/>
        </w:rPr>
        <w:t xml:space="preserve"> ECLI:EU:T:2016:226, pkt 33.</w:t>
      </w:r>
    </w:p>
  </w:footnote>
  <w:footnote w:id="14">
    <w:p w14:paraId="2B7439FE"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Wyrok Sądu UE z 6 listopada 2024 r., T-136/23,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Luxury</w:t>
      </w:r>
      <w:proofErr w:type="spellEnd"/>
      <w:r w:rsidRPr="00953F4F">
        <w:rPr>
          <w:rFonts w:ascii="Times New Roman" w:hAnsi="Times New Roman" w:cs="Times New Roman"/>
          <w:i/>
          <w:iCs/>
        </w:rPr>
        <w:t xml:space="preserve"> Wine </w:t>
      </w:r>
      <w:proofErr w:type="spellStart"/>
      <w:r w:rsidRPr="00953F4F">
        <w:rPr>
          <w:rFonts w:ascii="Times New Roman" w:hAnsi="Times New Roman" w:cs="Times New Roman"/>
          <w:i/>
          <w:iCs/>
        </w:rPr>
        <w:t>Specialists</w:t>
      </w:r>
      <w:proofErr w:type="spellEnd"/>
      <w:r w:rsidRPr="00953F4F">
        <w:rPr>
          <w:rFonts w:ascii="Times New Roman" w:hAnsi="Times New Roman" w:cs="Times New Roman"/>
          <w:i/>
          <w:iCs/>
        </w:rPr>
        <w:t xml:space="preserve"> przeciwko EUIPO - Grande Vitae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 xml:space="preserve">), </w:t>
      </w:r>
      <w:r w:rsidRPr="00953F4F">
        <w:rPr>
          <w:rFonts w:ascii="Times New Roman" w:hAnsi="Times New Roman" w:cs="Times New Roman"/>
        </w:rPr>
        <w:t>ECLI:EU:T:2024:779, pkt 52 oraz powołany tam wyrok Sądu UE z powołany tam wyrok Sądu UE z 20 kwietnia 2016 r., T</w:t>
      </w:r>
      <w:r w:rsidRPr="00953F4F">
        <w:rPr>
          <w:rFonts w:ascii="Times New Roman" w:hAnsi="Times New Roman" w:cs="Times New Roman"/>
        </w:rPr>
        <w:noBreakHyphen/>
        <w:t xml:space="preserve">77/15, </w:t>
      </w:r>
      <w:proofErr w:type="spellStart"/>
      <w:r w:rsidRPr="00953F4F">
        <w:rPr>
          <w:rFonts w:ascii="Times New Roman" w:hAnsi="Times New Roman" w:cs="Times New Roman"/>
          <w:i/>
          <w:iCs/>
        </w:rPr>
        <w:t>Tronios</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Group</w:t>
      </w:r>
      <w:proofErr w:type="spellEnd"/>
      <w:r w:rsidRPr="00953F4F">
        <w:rPr>
          <w:rFonts w:ascii="Times New Roman" w:hAnsi="Times New Roman" w:cs="Times New Roman"/>
          <w:i/>
          <w:iCs/>
        </w:rPr>
        <w:t xml:space="preserve"> International v EUIPO - </w:t>
      </w:r>
      <w:proofErr w:type="spellStart"/>
      <w:r w:rsidRPr="00953F4F">
        <w:rPr>
          <w:rFonts w:ascii="Times New Roman" w:hAnsi="Times New Roman" w:cs="Times New Roman"/>
          <w:i/>
          <w:iCs/>
        </w:rPr>
        <w:t>Sky</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SkyTec</w:t>
      </w:r>
      <w:proofErr w:type="spellEnd"/>
      <w:r w:rsidRPr="00953F4F">
        <w:rPr>
          <w:rFonts w:ascii="Times New Roman" w:hAnsi="Times New Roman" w:cs="Times New Roman"/>
          <w:i/>
          <w:iCs/>
        </w:rPr>
        <w:t>),</w:t>
      </w:r>
      <w:r w:rsidRPr="00953F4F">
        <w:rPr>
          <w:rFonts w:ascii="Times New Roman" w:hAnsi="Times New Roman" w:cs="Times New Roman"/>
        </w:rPr>
        <w:t xml:space="preserve"> ECLI:EU:T:2016:226, pkt 34 oraz wyrok Sądu UE z 4 października 2018 r., T</w:t>
      </w:r>
      <w:r w:rsidRPr="00953F4F">
        <w:rPr>
          <w:rFonts w:ascii="Times New Roman" w:hAnsi="Times New Roman" w:cs="Times New Roman"/>
        </w:rPr>
        <w:noBreakHyphen/>
        <w:t xml:space="preserve">150/17, </w:t>
      </w:r>
      <w:proofErr w:type="spellStart"/>
      <w:r w:rsidRPr="00953F4F">
        <w:rPr>
          <w:rFonts w:ascii="Times New Roman" w:hAnsi="Times New Roman" w:cs="Times New Roman"/>
          <w:i/>
          <w:iCs/>
        </w:rPr>
        <w:t>Asolo</w:t>
      </w:r>
      <w:proofErr w:type="spellEnd"/>
      <w:r w:rsidRPr="00953F4F">
        <w:rPr>
          <w:rFonts w:ascii="Times New Roman" w:hAnsi="Times New Roman" w:cs="Times New Roman"/>
          <w:i/>
          <w:iCs/>
        </w:rPr>
        <w:t xml:space="preserve"> v EUIPO - Red Bull (FLÜGEL),</w:t>
      </w:r>
      <w:r w:rsidRPr="00953F4F">
        <w:rPr>
          <w:rFonts w:ascii="Times New Roman" w:hAnsi="Times New Roman" w:cs="Times New Roman"/>
        </w:rPr>
        <w:t xml:space="preserve"> ECLI:EU:T:2018:641, pkt 35.</w:t>
      </w:r>
    </w:p>
  </w:footnote>
  <w:footnote w:id="15">
    <w:p w14:paraId="24E190F4"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Wyrok Sądu UE z 6 listopada 2024 r., T-136/23,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Luxury</w:t>
      </w:r>
      <w:proofErr w:type="spellEnd"/>
      <w:r w:rsidRPr="00953F4F">
        <w:rPr>
          <w:rFonts w:ascii="Times New Roman" w:hAnsi="Times New Roman" w:cs="Times New Roman"/>
          <w:i/>
          <w:iCs/>
        </w:rPr>
        <w:t xml:space="preserve"> Wine </w:t>
      </w:r>
      <w:proofErr w:type="spellStart"/>
      <w:r w:rsidRPr="00953F4F">
        <w:rPr>
          <w:rFonts w:ascii="Times New Roman" w:hAnsi="Times New Roman" w:cs="Times New Roman"/>
          <w:i/>
          <w:iCs/>
        </w:rPr>
        <w:t>Specialists</w:t>
      </w:r>
      <w:proofErr w:type="spellEnd"/>
      <w:r w:rsidRPr="00953F4F">
        <w:rPr>
          <w:rFonts w:ascii="Times New Roman" w:hAnsi="Times New Roman" w:cs="Times New Roman"/>
          <w:i/>
          <w:iCs/>
        </w:rPr>
        <w:t xml:space="preserve"> przeciwko EUIPO - Grande Vitae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 xml:space="preserve">), </w:t>
      </w:r>
      <w:r w:rsidRPr="00953F4F">
        <w:rPr>
          <w:rFonts w:ascii="Times New Roman" w:hAnsi="Times New Roman" w:cs="Times New Roman"/>
        </w:rPr>
        <w:t>ECLI:EU:T:2024:779, pkt 52.</w:t>
      </w:r>
    </w:p>
  </w:footnote>
  <w:footnote w:id="16">
    <w:p w14:paraId="7C82A5A5"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Co wynika m.in. z wyroku Sądu UE z 29 września 2021 r., </w:t>
      </w:r>
      <w:proofErr w:type="spellStart"/>
      <w:r w:rsidRPr="00953F4F">
        <w:rPr>
          <w:rFonts w:ascii="Times New Roman" w:hAnsi="Times New Roman" w:cs="Times New Roman"/>
          <w:i/>
          <w:iCs/>
        </w:rPr>
        <w:t>Univers</w:t>
      </w:r>
      <w:proofErr w:type="spellEnd"/>
      <w:r w:rsidRPr="00953F4F">
        <w:rPr>
          <w:rFonts w:ascii="Times New Roman" w:hAnsi="Times New Roman" w:cs="Times New Roman"/>
          <w:i/>
          <w:iCs/>
        </w:rPr>
        <w:t xml:space="preserve"> Agro przeciwko EUIPO - </w:t>
      </w:r>
      <w:proofErr w:type="spellStart"/>
      <w:r w:rsidRPr="00953F4F">
        <w:rPr>
          <w:rFonts w:ascii="Times New Roman" w:hAnsi="Times New Roman" w:cs="Times New Roman"/>
          <w:i/>
          <w:iCs/>
        </w:rPr>
        <w:t>Shandong</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Hengfeng</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Rubber</w:t>
      </w:r>
      <w:proofErr w:type="spellEnd"/>
      <w:r w:rsidRPr="00953F4F">
        <w:rPr>
          <w:rFonts w:ascii="Times New Roman" w:hAnsi="Times New Roman" w:cs="Times New Roman"/>
          <w:i/>
          <w:iCs/>
        </w:rPr>
        <w:t xml:space="preserve"> &amp; Plastic (AGATE),</w:t>
      </w:r>
      <w:r w:rsidRPr="00953F4F">
        <w:rPr>
          <w:rFonts w:ascii="Times New Roman" w:hAnsi="Times New Roman" w:cs="Times New Roman"/>
        </w:rPr>
        <w:t xml:space="preserve"> ECLI:EU:T:2021:633, pkt 29.</w:t>
      </w:r>
    </w:p>
  </w:footnote>
  <w:footnote w:id="17">
    <w:p w14:paraId="3B19B64F"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Wyrok Sądu UE z 6 listopada 2024 r., T-136/23,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Luxury</w:t>
      </w:r>
      <w:proofErr w:type="spellEnd"/>
      <w:r w:rsidRPr="00953F4F">
        <w:rPr>
          <w:rFonts w:ascii="Times New Roman" w:hAnsi="Times New Roman" w:cs="Times New Roman"/>
          <w:i/>
          <w:iCs/>
        </w:rPr>
        <w:t xml:space="preserve"> Wine </w:t>
      </w:r>
      <w:proofErr w:type="spellStart"/>
      <w:r w:rsidRPr="00953F4F">
        <w:rPr>
          <w:rFonts w:ascii="Times New Roman" w:hAnsi="Times New Roman" w:cs="Times New Roman"/>
          <w:i/>
          <w:iCs/>
        </w:rPr>
        <w:t>Specialists</w:t>
      </w:r>
      <w:proofErr w:type="spellEnd"/>
      <w:r w:rsidRPr="00953F4F">
        <w:rPr>
          <w:rFonts w:ascii="Times New Roman" w:hAnsi="Times New Roman" w:cs="Times New Roman"/>
          <w:i/>
          <w:iCs/>
        </w:rPr>
        <w:t xml:space="preserve"> przeciwko EUIPO - Grande Vitae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w:t>
      </w:r>
      <w:r w:rsidRPr="00953F4F">
        <w:rPr>
          <w:rFonts w:ascii="Times New Roman" w:hAnsi="Times New Roman" w:cs="Times New Roman"/>
        </w:rPr>
        <w:t xml:space="preserve"> ECLI:EU:T:2024:779, pkt 58.</w:t>
      </w:r>
    </w:p>
  </w:footnote>
  <w:footnote w:id="18">
    <w:p w14:paraId="7DA7BBE7" w14:textId="7D2C8F15" w:rsidR="00A14CA5" w:rsidRDefault="00A14CA5">
      <w:pPr>
        <w:pStyle w:val="Tekstprzypisudolnego"/>
      </w:pPr>
      <w:r>
        <w:rPr>
          <w:rStyle w:val="Odwoanieprzypisudolnego"/>
        </w:rPr>
        <w:footnoteRef/>
      </w:r>
      <w:r>
        <w:t xml:space="preserve"> </w:t>
      </w:r>
      <w:r w:rsidRPr="00953F4F">
        <w:rPr>
          <w:rFonts w:ascii="Times New Roman" w:hAnsi="Times New Roman" w:cs="Times New Roman"/>
        </w:rPr>
        <w:t>Postanowienie Trybunału Sprawiedliwości UE z 25 czerwca 2025 r., C</w:t>
      </w:r>
      <w:r w:rsidRPr="00953F4F">
        <w:rPr>
          <w:rFonts w:ascii="Times New Roman" w:hAnsi="Times New Roman" w:cs="Times New Roman"/>
        </w:rPr>
        <w:noBreakHyphen/>
        <w:t>6/25 P,</w:t>
      </w:r>
      <w:r w:rsidRPr="00953F4F">
        <w:rPr>
          <w:rFonts w:ascii="Times New Roman" w:hAnsi="Times New Roman" w:cs="Times New Roman"/>
          <w:b/>
          <w:bCs/>
        </w:rPr>
        <w:t>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Luxury</w:t>
      </w:r>
      <w:proofErr w:type="spellEnd"/>
      <w:r w:rsidRPr="00953F4F">
        <w:rPr>
          <w:rFonts w:ascii="Times New Roman" w:hAnsi="Times New Roman" w:cs="Times New Roman"/>
          <w:i/>
          <w:iCs/>
        </w:rPr>
        <w:t xml:space="preserve"> Wine </w:t>
      </w:r>
      <w:proofErr w:type="spellStart"/>
      <w:r w:rsidRPr="00953F4F">
        <w:rPr>
          <w:rFonts w:ascii="Times New Roman" w:hAnsi="Times New Roman" w:cs="Times New Roman"/>
          <w:i/>
          <w:iCs/>
        </w:rPr>
        <w:t>Specialists</w:t>
      </w:r>
      <w:proofErr w:type="spellEnd"/>
      <w:r w:rsidRPr="00953F4F">
        <w:rPr>
          <w:rFonts w:ascii="Times New Roman" w:hAnsi="Times New Roman" w:cs="Times New Roman"/>
          <w:i/>
          <w:iCs/>
        </w:rPr>
        <w:t xml:space="preserve"> przeciwko EUIPO</w:t>
      </w:r>
      <w:r w:rsidRPr="00953F4F">
        <w:rPr>
          <w:rFonts w:ascii="Times New Roman" w:hAnsi="Times New Roman" w:cs="Times New Roman"/>
        </w:rPr>
        <w:t>, ECLI:EU:C:2025:494.</w:t>
      </w:r>
    </w:p>
  </w:footnote>
  <w:footnote w:id="19">
    <w:p w14:paraId="6473C8D7" w14:textId="56D430A0"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w:t>
      </w:r>
      <w:r w:rsidR="00A14CA5">
        <w:rPr>
          <w:rFonts w:ascii="Times New Roman" w:hAnsi="Times New Roman" w:cs="Times New Roman"/>
        </w:rPr>
        <w:t xml:space="preserve">Art. 58a akapit trzeci protokołu nr 3 </w:t>
      </w:r>
      <w:r w:rsidR="00A14CA5" w:rsidRPr="00A14CA5">
        <w:rPr>
          <w:rFonts w:ascii="Times New Roman" w:hAnsi="Times New Roman" w:cs="Times New Roman"/>
        </w:rPr>
        <w:t>w sprawie statutu Trybunału Sprawiedliwości Unii Europejskiej</w:t>
      </w:r>
      <w:r w:rsidR="00A14CA5">
        <w:rPr>
          <w:rFonts w:ascii="Times New Roman" w:hAnsi="Times New Roman" w:cs="Times New Roman"/>
        </w:rPr>
        <w:t xml:space="preserve"> (wersja skonsolidowana z 1 września 2024 r., dostępna na stronie internetowej: </w:t>
      </w:r>
      <w:hyperlink r:id="rId1" w:history="1">
        <w:r w:rsidR="00A14CA5" w:rsidRPr="00CB1624">
          <w:rPr>
            <w:rStyle w:val="Hipercze"/>
            <w:rFonts w:ascii="Times New Roman" w:hAnsi="Times New Roman" w:cs="Times New Roman"/>
          </w:rPr>
          <w:t>https://curia.europa.eu/jcms/jcms/Jo2_7040/pl/</w:t>
        </w:r>
      </w:hyperlink>
      <w:r w:rsidR="00A14CA5">
        <w:rPr>
          <w:rFonts w:ascii="Times New Roman" w:hAnsi="Times New Roman" w:cs="Times New Roman"/>
        </w:rPr>
        <w:t xml:space="preserve">). </w:t>
      </w:r>
    </w:p>
  </w:footnote>
  <w:footnote w:id="20">
    <w:p w14:paraId="48ECDFA2"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Wyrok Sądu UE z 6 listopada 2024 r., T-136/23,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Luxury</w:t>
      </w:r>
      <w:proofErr w:type="spellEnd"/>
      <w:r w:rsidRPr="00953F4F">
        <w:rPr>
          <w:rFonts w:ascii="Times New Roman" w:hAnsi="Times New Roman" w:cs="Times New Roman"/>
          <w:i/>
          <w:iCs/>
        </w:rPr>
        <w:t xml:space="preserve"> Wine </w:t>
      </w:r>
      <w:proofErr w:type="spellStart"/>
      <w:r w:rsidRPr="00953F4F">
        <w:rPr>
          <w:rFonts w:ascii="Times New Roman" w:hAnsi="Times New Roman" w:cs="Times New Roman"/>
          <w:i/>
          <w:iCs/>
        </w:rPr>
        <w:t>Specialists</w:t>
      </w:r>
      <w:proofErr w:type="spellEnd"/>
      <w:r w:rsidRPr="00953F4F">
        <w:rPr>
          <w:rFonts w:ascii="Times New Roman" w:hAnsi="Times New Roman" w:cs="Times New Roman"/>
          <w:i/>
          <w:iCs/>
        </w:rPr>
        <w:t xml:space="preserve"> przeciwko EUIPO - Grande Vitae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w:t>
      </w:r>
      <w:r w:rsidRPr="00953F4F">
        <w:rPr>
          <w:rFonts w:ascii="Times New Roman" w:hAnsi="Times New Roman" w:cs="Times New Roman"/>
        </w:rPr>
        <w:t>, ECLI:EU:T:2024:779, pkt 61-66.</w:t>
      </w:r>
    </w:p>
  </w:footnote>
  <w:footnote w:id="21">
    <w:p w14:paraId="424C2989"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w:t>
      </w:r>
      <w:r w:rsidRPr="00953F4F">
        <w:rPr>
          <w:rFonts w:ascii="Times New Roman" w:hAnsi="Times New Roman" w:cs="Times New Roman"/>
          <w:i/>
          <w:iCs/>
        </w:rPr>
        <w:t>Ibidem</w:t>
      </w:r>
      <w:r w:rsidRPr="00953F4F">
        <w:rPr>
          <w:rFonts w:ascii="Times New Roman" w:hAnsi="Times New Roman" w:cs="Times New Roman"/>
        </w:rPr>
        <w:t>, pkt 70.</w:t>
      </w:r>
    </w:p>
  </w:footnote>
  <w:footnote w:id="22">
    <w:p w14:paraId="7EE244E2"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w:t>
      </w:r>
      <w:r w:rsidRPr="00953F4F">
        <w:rPr>
          <w:rFonts w:ascii="Times New Roman" w:hAnsi="Times New Roman" w:cs="Times New Roman"/>
          <w:i/>
          <w:iCs/>
        </w:rPr>
        <w:t>Ibidem</w:t>
      </w:r>
      <w:r w:rsidRPr="00953F4F">
        <w:rPr>
          <w:rFonts w:ascii="Times New Roman" w:hAnsi="Times New Roman" w:cs="Times New Roman"/>
        </w:rPr>
        <w:t xml:space="preserve">, pkt 74-80. </w:t>
      </w:r>
    </w:p>
  </w:footnote>
  <w:footnote w:id="23">
    <w:p w14:paraId="49798351"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w:t>
      </w:r>
      <w:r w:rsidRPr="00953F4F">
        <w:rPr>
          <w:rFonts w:ascii="Times New Roman" w:hAnsi="Times New Roman" w:cs="Times New Roman"/>
          <w:i/>
          <w:iCs/>
        </w:rPr>
        <w:t xml:space="preserve">Ibidem, </w:t>
      </w:r>
      <w:r w:rsidRPr="00953F4F">
        <w:rPr>
          <w:rFonts w:ascii="Times New Roman" w:hAnsi="Times New Roman" w:cs="Times New Roman"/>
        </w:rPr>
        <w:t>pkt</w:t>
      </w:r>
      <w:r w:rsidRPr="00953F4F">
        <w:rPr>
          <w:rFonts w:ascii="Times New Roman" w:hAnsi="Times New Roman" w:cs="Times New Roman"/>
          <w:i/>
          <w:iCs/>
        </w:rPr>
        <w:t xml:space="preserve"> </w:t>
      </w:r>
      <w:r w:rsidRPr="00953F4F">
        <w:rPr>
          <w:rFonts w:ascii="Times New Roman" w:hAnsi="Times New Roman" w:cs="Times New Roman"/>
        </w:rPr>
        <w:t>56, 81-91.</w:t>
      </w:r>
    </w:p>
  </w:footnote>
  <w:footnote w:id="24">
    <w:p w14:paraId="55AFA5F2"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Zob. M. </w:t>
      </w:r>
      <w:proofErr w:type="spellStart"/>
      <w:r w:rsidRPr="00953F4F">
        <w:rPr>
          <w:rFonts w:ascii="Times New Roman" w:hAnsi="Times New Roman" w:cs="Times New Roman"/>
        </w:rPr>
        <w:t>Bohaczewski</w:t>
      </w:r>
      <w:proofErr w:type="spellEnd"/>
      <w:r w:rsidRPr="00953F4F">
        <w:rPr>
          <w:rFonts w:ascii="Times New Roman" w:hAnsi="Times New Roman" w:cs="Times New Roman"/>
        </w:rPr>
        <w:t xml:space="preserve"> [w:] </w:t>
      </w:r>
      <w:r w:rsidRPr="00953F4F">
        <w:rPr>
          <w:rFonts w:ascii="Times New Roman" w:hAnsi="Times New Roman" w:cs="Times New Roman"/>
          <w:i/>
          <w:iCs/>
        </w:rPr>
        <w:t xml:space="preserve">Komentarze Prawa Prywatnego, </w:t>
      </w:r>
      <w:r w:rsidRPr="00953F4F">
        <w:rPr>
          <w:rFonts w:ascii="Times New Roman" w:hAnsi="Times New Roman" w:cs="Times New Roman"/>
        </w:rPr>
        <w:t xml:space="preserve">t. VIIIB, </w:t>
      </w:r>
      <w:r w:rsidRPr="00953F4F">
        <w:rPr>
          <w:rFonts w:ascii="Times New Roman" w:hAnsi="Times New Roman" w:cs="Times New Roman"/>
          <w:i/>
          <w:iCs/>
        </w:rPr>
        <w:t>Prawo własności przemysłowej. Komentarz</w:t>
      </w:r>
      <w:r w:rsidRPr="00953F4F">
        <w:rPr>
          <w:rFonts w:ascii="Times New Roman" w:hAnsi="Times New Roman" w:cs="Times New Roman"/>
        </w:rPr>
        <w:t xml:space="preserve">, red. Ł. Żelechowski, Warszawa 2021, art. 155, pkt 11. </w:t>
      </w:r>
    </w:p>
  </w:footnote>
  <w:footnote w:id="25">
    <w:p w14:paraId="4E7E27DA"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Jeżeli list ten dotyczy tylko kwestii rejestracji lub zgłoszenia znaku towarowego, to przyjęcie świadomości używania nie będzie tylko na tej podstawie możliwe.</w:t>
      </w:r>
    </w:p>
  </w:footnote>
  <w:footnote w:id="26">
    <w:p w14:paraId="58CBC876"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Zob. M. </w:t>
      </w:r>
      <w:proofErr w:type="spellStart"/>
      <w:r w:rsidRPr="00953F4F">
        <w:rPr>
          <w:rFonts w:ascii="Times New Roman" w:hAnsi="Times New Roman" w:cs="Times New Roman"/>
        </w:rPr>
        <w:t>Bohaczewski</w:t>
      </w:r>
      <w:proofErr w:type="spellEnd"/>
      <w:r w:rsidRPr="00953F4F">
        <w:rPr>
          <w:rFonts w:ascii="Times New Roman" w:hAnsi="Times New Roman" w:cs="Times New Roman"/>
        </w:rPr>
        <w:t xml:space="preserve"> [w:] </w:t>
      </w:r>
      <w:r w:rsidRPr="00953F4F">
        <w:rPr>
          <w:rFonts w:ascii="Times New Roman" w:hAnsi="Times New Roman" w:cs="Times New Roman"/>
          <w:i/>
          <w:iCs/>
        </w:rPr>
        <w:t>Komentarze Prawa Prywatnego…</w:t>
      </w:r>
      <w:r w:rsidRPr="00953F4F">
        <w:rPr>
          <w:rFonts w:ascii="Times New Roman" w:hAnsi="Times New Roman" w:cs="Times New Roman"/>
        </w:rPr>
        <w:t xml:space="preserve">, pkt 17 za A. Kur, M. </w:t>
      </w:r>
      <w:proofErr w:type="spellStart"/>
      <w:r w:rsidRPr="00953F4F">
        <w:rPr>
          <w:rFonts w:ascii="Times New Roman" w:hAnsi="Times New Roman" w:cs="Times New Roman"/>
        </w:rPr>
        <w:t>Senftleben</w:t>
      </w:r>
      <w:proofErr w:type="spellEnd"/>
      <w:r w:rsidRPr="00953F4F">
        <w:rPr>
          <w:rFonts w:ascii="Times New Roman" w:hAnsi="Times New Roman" w:cs="Times New Roman"/>
        </w:rPr>
        <w:t xml:space="preserve">, [w:] A. Kur, M. </w:t>
      </w:r>
      <w:proofErr w:type="spellStart"/>
      <w:r w:rsidRPr="00953F4F">
        <w:rPr>
          <w:rFonts w:ascii="Times New Roman" w:hAnsi="Times New Roman" w:cs="Times New Roman"/>
        </w:rPr>
        <w:t>Senftleben</w:t>
      </w:r>
      <w:proofErr w:type="spellEnd"/>
      <w:r w:rsidRPr="00953F4F">
        <w:rPr>
          <w:rFonts w:ascii="Times New Roman" w:hAnsi="Times New Roman" w:cs="Times New Roman"/>
        </w:rPr>
        <w:t xml:space="preserve">, </w:t>
      </w:r>
      <w:proofErr w:type="spellStart"/>
      <w:r w:rsidRPr="00953F4F">
        <w:rPr>
          <w:rFonts w:ascii="Times New Roman" w:hAnsi="Times New Roman" w:cs="Times New Roman"/>
          <w:i/>
          <w:iCs/>
        </w:rPr>
        <w:t>European</w:t>
      </w:r>
      <w:proofErr w:type="spellEnd"/>
      <w:r w:rsidRPr="00953F4F">
        <w:rPr>
          <w:rFonts w:ascii="Times New Roman" w:hAnsi="Times New Roman" w:cs="Times New Roman"/>
          <w:i/>
          <w:iCs/>
        </w:rPr>
        <w:t xml:space="preserve"> Trade Mark Law. A </w:t>
      </w:r>
      <w:proofErr w:type="spellStart"/>
      <w:r w:rsidRPr="00953F4F">
        <w:rPr>
          <w:rFonts w:ascii="Times New Roman" w:hAnsi="Times New Roman" w:cs="Times New Roman"/>
          <w:i/>
          <w:iCs/>
        </w:rPr>
        <w:t>Commentary</w:t>
      </w:r>
      <w:proofErr w:type="spellEnd"/>
      <w:r w:rsidRPr="00953F4F">
        <w:rPr>
          <w:rFonts w:ascii="Times New Roman" w:hAnsi="Times New Roman" w:cs="Times New Roman"/>
        </w:rPr>
        <w:t xml:space="preserve">, Oksford 2017, s. 478. </w:t>
      </w:r>
    </w:p>
  </w:footnote>
  <w:footnote w:id="27">
    <w:p w14:paraId="1CD630C9"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M. </w:t>
      </w:r>
      <w:proofErr w:type="spellStart"/>
      <w:r w:rsidRPr="00953F4F">
        <w:rPr>
          <w:rFonts w:ascii="Times New Roman" w:hAnsi="Times New Roman" w:cs="Times New Roman"/>
        </w:rPr>
        <w:t>Bohaczewski</w:t>
      </w:r>
      <w:proofErr w:type="spellEnd"/>
      <w:r w:rsidRPr="00953F4F">
        <w:rPr>
          <w:rFonts w:ascii="Times New Roman" w:hAnsi="Times New Roman" w:cs="Times New Roman"/>
        </w:rPr>
        <w:t xml:space="preserve">, [w:] </w:t>
      </w:r>
      <w:r w:rsidRPr="00953F4F">
        <w:rPr>
          <w:rFonts w:ascii="Times New Roman" w:hAnsi="Times New Roman" w:cs="Times New Roman"/>
          <w:i/>
          <w:iCs/>
        </w:rPr>
        <w:t>Komentarze Prawa Prywatnego…</w:t>
      </w:r>
      <w:r w:rsidRPr="00953F4F">
        <w:rPr>
          <w:rFonts w:ascii="Times New Roman" w:hAnsi="Times New Roman" w:cs="Times New Roman"/>
        </w:rPr>
        <w:t xml:space="preserve">, art. 165, pkt 17. </w:t>
      </w:r>
    </w:p>
  </w:footnote>
  <w:footnote w:id="28">
    <w:p w14:paraId="601A414B" w14:textId="1B4AC27B"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312AD">
        <w:rPr>
          <w:rFonts w:ascii="Times New Roman" w:hAnsi="Times New Roman" w:cs="Times New Roman"/>
          <w:lang w:val="de-DE"/>
        </w:rPr>
        <w:t xml:space="preserve"> I. </w:t>
      </w:r>
      <w:proofErr w:type="spellStart"/>
      <w:r w:rsidRPr="009312AD">
        <w:rPr>
          <w:rFonts w:ascii="Times New Roman" w:hAnsi="Times New Roman" w:cs="Times New Roman"/>
          <w:lang w:val="de-DE"/>
        </w:rPr>
        <w:t>Czernik</w:t>
      </w:r>
      <w:proofErr w:type="spellEnd"/>
      <w:r w:rsidRPr="009312AD">
        <w:rPr>
          <w:rFonts w:ascii="Times New Roman" w:hAnsi="Times New Roman" w:cs="Times New Roman"/>
          <w:lang w:val="de-DE"/>
        </w:rPr>
        <w:t xml:space="preserve">, [w:] </w:t>
      </w:r>
      <w:r w:rsidRPr="009312AD">
        <w:rPr>
          <w:rFonts w:ascii="Times New Roman" w:hAnsi="Times New Roman" w:cs="Times New Roman"/>
          <w:i/>
          <w:iCs/>
          <w:lang w:val="de-DE"/>
        </w:rPr>
        <w:t xml:space="preserve">EU Trade Mark Regulation (EUTMR). </w:t>
      </w:r>
      <w:proofErr w:type="spellStart"/>
      <w:r w:rsidRPr="009312AD">
        <w:rPr>
          <w:rFonts w:ascii="Times New Roman" w:hAnsi="Times New Roman" w:cs="Times New Roman"/>
          <w:i/>
          <w:iCs/>
        </w:rPr>
        <w:t>Brussels</w:t>
      </w:r>
      <w:proofErr w:type="spellEnd"/>
      <w:r w:rsidRPr="009312AD">
        <w:rPr>
          <w:rFonts w:ascii="Times New Roman" w:hAnsi="Times New Roman" w:cs="Times New Roman"/>
          <w:i/>
          <w:iCs/>
        </w:rPr>
        <w:t xml:space="preserve"> </w:t>
      </w:r>
      <w:proofErr w:type="spellStart"/>
      <w:r w:rsidRPr="009312AD">
        <w:rPr>
          <w:rFonts w:ascii="Times New Roman" w:hAnsi="Times New Roman" w:cs="Times New Roman"/>
          <w:i/>
          <w:iCs/>
        </w:rPr>
        <w:t>Commentary</w:t>
      </w:r>
      <w:proofErr w:type="spellEnd"/>
      <w:r w:rsidRPr="009312AD">
        <w:rPr>
          <w:rFonts w:ascii="Times New Roman" w:hAnsi="Times New Roman" w:cs="Times New Roman"/>
        </w:rPr>
        <w:t xml:space="preserve">, red. </w:t>
      </w:r>
      <w:r w:rsidRPr="00953F4F">
        <w:rPr>
          <w:rFonts w:ascii="Times New Roman" w:hAnsi="Times New Roman" w:cs="Times New Roman"/>
        </w:rPr>
        <w:t xml:space="preserve">U. Hildebrandt, O. </w:t>
      </w:r>
      <w:proofErr w:type="spellStart"/>
      <w:r w:rsidRPr="00953F4F">
        <w:rPr>
          <w:rFonts w:ascii="Times New Roman" w:hAnsi="Times New Roman" w:cs="Times New Roman"/>
        </w:rPr>
        <w:t>Sosnitza</w:t>
      </w:r>
      <w:proofErr w:type="spellEnd"/>
      <w:r w:rsidRPr="00953F4F">
        <w:rPr>
          <w:rFonts w:ascii="Times New Roman" w:hAnsi="Times New Roman" w:cs="Times New Roman"/>
        </w:rPr>
        <w:t xml:space="preserve">, Monachium 2023, s. 666. Należy jednak wyraźnie odnotować, że powołane stanowisko EUIPO nie jest aktualne. Rzeczywiście w wytycznych EUIPO z 1 października 2017 r. takie twierdzenie zostało wyrażone – zob. archiwalne teksty wytycznych na stronie internetowej: https://www.euipo.europa.eu/pl/guidelines/repository. Jednakże w wytycznych obowiązujących od 2020 r. zostało ono zastąpione następującym zdaniem, co ewidentnie zdaje się służyć zaostrzeniu pozycji w tym zakresie: „Właściciel zakwestionowanego znaku musi udowodnić używanie zakwestionowanego znaku w zakresie, w jakim można stwierdzić, że właściciel wcześniejszego znaku miał wiedzę o takim używaniu” - </w:t>
      </w:r>
      <w:r w:rsidRPr="00953F4F">
        <w:rPr>
          <w:rFonts w:ascii="Times New Roman" w:hAnsi="Times New Roman" w:cs="Times New Roman"/>
          <w:i/>
          <w:iCs/>
        </w:rPr>
        <w:t>Wytyczne dotyczące rozpatrywania spraw. Urząd Unii europejskiej Ds. Własności intelektualnej (EUIPO)</w:t>
      </w:r>
      <w:r w:rsidRPr="00953F4F">
        <w:rPr>
          <w:rFonts w:ascii="Times New Roman" w:hAnsi="Times New Roman" w:cs="Times New Roman"/>
        </w:rPr>
        <w:t xml:space="preserve">. </w:t>
      </w:r>
      <w:r w:rsidRPr="00953F4F">
        <w:rPr>
          <w:rFonts w:ascii="Times New Roman" w:hAnsi="Times New Roman" w:cs="Times New Roman"/>
          <w:i/>
          <w:iCs/>
        </w:rPr>
        <w:t>01/02/2020</w:t>
      </w:r>
      <w:r w:rsidRPr="00953F4F">
        <w:rPr>
          <w:rFonts w:ascii="Times New Roman" w:hAnsi="Times New Roman" w:cs="Times New Roman"/>
        </w:rPr>
        <w:t xml:space="preserve">, s. 1403; tekst wytycznych dostępny przez stronę internetową: </w:t>
      </w:r>
      <w:hyperlink r:id="rId2" w:history="1">
        <w:r w:rsidRPr="00953F4F">
          <w:rPr>
            <w:rStyle w:val="Hipercze"/>
            <w:rFonts w:ascii="Times New Roman" w:hAnsi="Times New Roman" w:cs="Times New Roman"/>
          </w:rPr>
          <w:t>https://guidelines.euipo.europa.eu/1916976/1866062/wytyczne-dot--znakow-towarowych/4-5-3-przyzwolenie</w:t>
        </w:r>
      </w:hyperlink>
      <w:r w:rsidRPr="00953F4F">
        <w:rPr>
          <w:rFonts w:ascii="Times New Roman" w:hAnsi="Times New Roman" w:cs="Times New Roman"/>
        </w:rPr>
        <w:t xml:space="preserve">, dostęp: 31 sierpnia 2025 r. </w:t>
      </w:r>
      <w:r w:rsidR="00D52535">
        <w:rPr>
          <w:rFonts w:ascii="Times New Roman" w:hAnsi="Times New Roman" w:cs="Times New Roman"/>
        </w:rPr>
        <w:t>W tym zakresie wytyczne</w:t>
      </w:r>
      <w:r w:rsidR="002912D4">
        <w:rPr>
          <w:rFonts w:ascii="Times New Roman" w:hAnsi="Times New Roman" w:cs="Times New Roman"/>
        </w:rPr>
        <w:t xml:space="preserve"> pozostają</w:t>
      </w:r>
      <w:r w:rsidR="00D52535">
        <w:rPr>
          <w:rFonts w:ascii="Times New Roman" w:hAnsi="Times New Roman" w:cs="Times New Roman"/>
        </w:rPr>
        <w:t xml:space="preserve"> aktualne na datę oddawania tekstu do druku – zob. </w:t>
      </w:r>
      <w:r w:rsidR="00D52535" w:rsidRPr="00D52535">
        <w:rPr>
          <w:rFonts w:ascii="Times New Roman" w:hAnsi="Times New Roman" w:cs="Times New Roman"/>
        </w:rPr>
        <w:t>Wytyczne dotyczące rozpatrywania spraw. Urząd Unii europejskiej Ds. Własności intelektualnej (EUIPO). 01/05/2025, s. 1</w:t>
      </w:r>
      <w:r w:rsidR="002912D4">
        <w:rPr>
          <w:rFonts w:ascii="Times New Roman" w:hAnsi="Times New Roman" w:cs="Times New Roman"/>
        </w:rPr>
        <w:t>600</w:t>
      </w:r>
      <w:r w:rsidR="00D52535" w:rsidRPr="00D52535">
        <w:rPr>
          <w:rFonts w:ascii="Times New Roman" w:hAnsi="Times New Roman" w:cs="Times New Roman"/>
        </w:rPr>
        <w:t xml:space="preserve">; tekst wytycznych dostępny przez stronę internetową: </w:t>
      </w:r>
      <w:hyperlink r:id="rId3" w:history="1">
        <w:r w:rsidR="002912D4" w:rsidRPr="00CB1624">
          <w:rPr>
            <w:rStyle w:val="Hipercze"/>
            <w:rFonts w:ascii="Times New Roman" w:hAnsi="Times New Roman" w:cs="Times New Roman"/>
          </w:rPr>
          <w:t>https://guidelines.euipo.europa.eu/2303097/2263510/wytyczne-dot--</w:t>
        </w:r>
        <w:proofErr w:type="spellStart"/>
        <w:r w:rsidR="002912D4" w:rsidRPr="00CB1624">
          <w:rPr>
            <w:rStyle w:val="Hipercze"/>
            <w:rFonts w:ascii="Times New Roman" w:hAnsi="Times New Roman" w:cs="Times New Roman"/>
          </w:rPr>
          <w:t>znakow</w:t>
        </w:r>
        <w:proofErr w:type="spellEnd"/>
        <w:r w:rsidR="002912D4" w:rsidRPr="00CB1624">
          <w:rPr>
            <w:rStyle w:val="Hipercze"/>
            <w:rFonts w:ascii="Times New Roman" w:hAnsi="Times New Roman" w:cs="Times New Roman"/>
          </w:rPr>
          <w:t>-towarowych/4-5-2-przyzwolenie</w:t>
        </w:r>
      </w:hyperlink>
      <w:r w:rsidR="00D52535" w:rsidRPr="00D52535">
        <w:rPr>
          <w:rFonts w:ascii="Times New Roman" w:hAnsi="Times New Roman" w:cs="Times New Roman"/>
        </w:rPr>
        <w:t>, dostęp: 31 sierpnia 2025 r</w:t>
      </w:r>
      <w:r w:rsidR="00D52535">
        <w:rPr>
          <w:rFonts w:ascii="Times New Roman" w:hAnsi="Times New Roman" w:cs="Times New Roman"/>
        </w:rPr>
        <w:t xml:space="preserve">. </w:t>
      </w:r>
      <w:r w:rsidRPr="00953F4F">
        <w:rPr>
          <w:rFonts w:ascii="Times New Roman" w:hAnsi="Times New Roman" w:cs="Times New Roman"/>
        </w:rPr>
        <w:t xml:space="preserve">A. Kur, M. </w:t>
      </w:r>
      <w:proofErr w:type="spellStart"/>
      <w:r w:rsidRPr="00953F4F">
        <w:rPr>
          <w:rFonts w:ascii="Times New Roman" w:hAnsi="Times New Roman" w:cs="Times New Roman"/>
        </w:rPr>
        <w:t>Senftleben</w:t>
      </w:r>
      <w:proofErr w:type="spellEnd"/>
      <w:r w:rsidRPr="00953F4F">
        <w:rPr>
          <w:rFonts w:ascii="Times New Roman" w:hAnsi="Times New Roman" w:cs="Times New Roman"/>
        </w:rPr>
        <w:t xml:space="preserve">, [w:] A. Kur, M. </w:t>
      </w:r>
      <w:proofErr w:type="spellStart"/>
      <w:r w:rsidRPr="00953F4F">
        <w:rPr>
          <w:rFonts w:ascii="Times New Roman" w:hAnsi="Times New Roman" w:cs="Times New Roman"/>
        </w:rPr>
        <w:t>Senftleben</w:t>
      </w:r>
      <w:proofErr w:type="spellEnd"/>
      <w:r w:rsidRPr="00953F4F">
        <w:rPr>
          <w:rFonts w:ascii="Times New Roman" w:hAnsi="Times New Roman" w:cs="Times New Roman"/>
        </w:rPr>
        <w:t xml:space="preserve">, </w:t>
      </w:r>
      <w:proofErr w:type="spellStart"/>
      <w:r w:rsidRPr="00953F4F">
        <w:rPr>
          <w:rFonts w:ascii="Times New Roman" w:hAnsi="Times New Roman" w:cs="Times New Roman"/>
          <w:i/>
          <w:iCs/>
        </w:rPr>
        <w:t>European</w:t>
      </w:r>
      <w:proofErr w:type="spellEnd"/>
      <w:r w:rsidRPr="00953F4F">
        <w:rPr>
          <w:rFonts w:ascii="Times New Roman" w:hAnsi="Times New Roman" w:cs="Times New Roman"/>
          <w:i/>
          <w:iCs/>
        </w:rPr>
        <w:t xml:space="preserve"> Trade…</w:t>
      </w:r>
      <w:r w:rsidRPr="00953F4F">
        <w:rPr>
          <w:rFonts w:ascii="Times New Roman" w:hAnsi="Times New Roman" w:cs="Times New Roman"/>
        </w:rPr>
        <w:t xml:space="preserve">, s. 478 również prezentują otwarte podejście do dowodów pośrednich, nie akcentując jednak jednocześnie tak wyraźnie potrzeby wykazania rzeczywistej wiedzy o używaniu znaku wcześniejszego tak jak M. </w:t>
      </w:r>
      <w:proofErr w:type="spellStart"/>
      <w:r w:rsidRPr="00953F4F">
        <w:rPr>
          <w:rFonts w:ascii="Times New Roman" w:hAnsi="Times New Roman" w:cs="Times New Roman"/>
        </w:rPr>
        <w:t>Bohaczewski</w:t>
      </w:r>
      <w:proofErr w:type="spellEnd"/>
      <w:r w:rsidRPr="00953F4F">
        <w:rPr>
          <w:rFonts w:ascii="Times New Roman" w:hAnsi="Times New Roman" w:cs="Times New Roman"/>
        </w:rPr>
        <w:t xml:space="preserve"> oraz I. Czernik w powołanych pozycjach. Wskazują przy tym, że przy podejściu przeciwnym świadomość wiedzy o znaku późniejszym będzie rzadko występować, chyba że młodszy użytkownik formalnie poinformuje właściciela wcześniejszego prawa o używaniu spornego znaku. Przez to zdaniem autorów należy koniecznie uwzględniać formy wiedzy domniemanej przy ustalaniu tej wiedzy. Podobne podeście wyraża NSA w wyroku z 9 stycznia 2025 r., II GSK 1431/21.</w:t>
      </w:r>
    </w:p>
  </w:footnote>
  <w:footnote w:id="29">
    <w:p w14:paraId="6A47D5E0"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Wyrok Sądu UE z 6 listopada 2024 r., T-136/23,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Luxury</w:t>
      </w:r>
      <w:proofErr w:type="spellEnd"/>
      <w:r w:rsidRPr="00953F4F">
        <w:rPr>
          <w:rFonts w:ascii="Times New Roman" w:hAnsi="Times New Roman" w:cs="Times New Roman"/>
          <w:i/>
          <w:iCs/>
        </w:rPr>
        <w:t xml:space="preserve"> Wine </w:t>
      </w:r>
      <w:proofErr w:type="spellStart"/>
      <w:r w:rsidRPr="00953F4F">
        <w:rPr>
          <w:rFonts w:ascii="Times New Roman" w:hAnsi="Times New Roman" w:cs="Times New Roman"/>
          <w:i/>
          <w:iCs/>
        </w:rPr>
        <w:t>Specialists</w:t>
      </w:r>
      <w:proofErr w:type="spellEnd"/>
      <w:r w:rsidRPr="00953F4F">
        <w:rPr>
          <w:rFonts w:ascii="Times New Roman" w:hAnsi="Times New Roman" w:cs="Times New Roman"/>
          <w:i/>
          <w:iCs/>
        </w:rPr>
        <w:t xml:space="preserve"> przeciwko EUIPO - Grande Vitae (</w:t>
      </w:r>
      <w:proofErr w:type="spellStart"/>
      <w:r w:rsidRPr="00953F4F">
        <w:rPr>
          <w:rFonts w:ascii="Times New Roman" w:hAnsi="Times New Roman" w:cs="Times New Roman"/>
          <w:i/>
          <w:iCs/>
        </w:rPr>
        <w:t>vintae</w:t>
      </w:r>
      <w:proofErr w:type="spellEnd"/>
      <w:r w:rsidRPr="00953F4F">
        <w:rPr>
          <w:rFonts w:ascii="Times New Roman" w:hAnsi="Times New Roman" w:cs="Times New Roman"/>
          <w:i/>
          <w:iCs/>
        </w:rPr>
        <w:t>)</w:t>
      </w:r>
      <w:r w:rsidRPr="00953F4F">
        <w:rPr>
          <w:rFonts w:ascii="Times New Roman" w:hAnsi="Times New Roman" w:cs="Times New Roman"/>
        </w:rPr>
        <w:t xml:space="preserve">, ECLI:EU:T:2024:779, pkt 58. </w:t>
      </w:r>
    </w:p>
  </w:footnote>
  <w:footnote w:id="30">
    <w:p w14:paraId="60E4E756"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Powołany cytat pochodzi z wyroku Trybunału Sprawiedliwości z 11 czerwca 2009 r., C-529/07, </w:t>
      </w:r>
      <w:proofErr w:type="spellStart"/>
      <w:r w:rsidRPr="00953F4F">
        <w:rPr>
          <w:rFonts w:ascii="Times New Roman" w:hAnsi="Times New Roman" w:cs="Times New Roman"/>
          <w:i/>
          <w:iCs/>
        </w:rPr>
        <w:t>Chocoladenfabriken</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Lindt</w:t>
      </w:r>
      <w:proofErr w:type="spellEnd"/>
      <w:r w:rsidRPr="00953F4F">
        <w:rPr>
          <w:rFonts w:ascii="Times New Roman" w:hAnsi="Times New Roman" w:cs="Times New Roman"/>
          <w:i/>
          <w:iCs/>
        </w:rPr>
        <w:t xml:space="preserve"> &amp; </w:t>
      </w:r>
      <w:proofErr w:type="spellStart"/>
      <w:r w:rsidRPr="00953F4F">
        <w:rPr>
          <w:rFonts w:ascii="Times New Roman" w:hAnsi="Times New Roman" w:cs="Times New Roman"/>
          <w:i/>
          <w:iCs/>
        </w:rPr>
        <w:t>Sprüngli</w:t>
      </w:r>
      <w:proofErr w:type="spellEnd"/>
      <w:r w:rsidRPr="00953F4F">
        <w:rPr>
          <w:rFonts w:ascii="Times New Roman" w:hAnsi="Times New Roman" w:cs="Times New Roman"/>
        </w:rPr>
        <w:t>, ECLI:EU:C:2009:361, pkt 39.</w:t>
      </w:r>
      <w:r w:rsidRPr="00953F4F">
        <w:rPr>
          <w:rFonts w:ascii="Times New Roman" w:hAnsi="Times New Roman" w:cs="Times New Roman"/>
          <w:b/>
          <w:bCs/>
        </w:rPr>
        <w:t xml:space="preserve"> </w:t>
      </w:r>
    </w:p>
  </w:footnote>
  <w:footnote w:id="31">
    <w:p w14:paraId="488BBCD6"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Zob. M. </w:t>
      </w:r>
      <w:proofErr w:type="spellStart"/>
      <w:r w:rsidRPr="00953F4F">
        <w:rPr>
          <w:rFonts w:ascii="Times New Roman" w:hAnsi="Times New Roman" w:cs="Times New Roman"/>
        </w:rPr>
        <w:t>Bohaczewski</w:t>
      </w:r>
      <w:proofErr w:type="spellEnd"/>
      <w:r w:rsidRPr="00953F4F">
        <w:rPr>
          <w:rFonts w:ascii="Times New Roman" w:hAnsi="Times New Roman" w:cs="Times New Roman"/>
        </w:rPr>
        <w:t xml:space="preserve"> [w:] </w:t>
      </w:r>
      <w:r w:rsidRPr="00953F4F">
        <w:rPr>
          <w:rFonts w:ascii="Times New Roman" w:hAnsi="Times New Roman" w:cs="Times New Roman"/>
          <w:i/>
          <w:iCs/>
        </w:rPr>
        <w:t>Komentarze Prawa Prywatnego…</w:t>
      </w:r>
      <w:r w:rsidRPr="00953F4F">
        <w:rPr>
          <w:rFonts w:ascii="Times New Roman" w:hAnsi="Times New Roman" w:cs="Times New Roman"/>
        </w:rPr>
        <w:t>, pkt 17.1 i powołana tam literatura.</w:t>
      </w:r>
    </w:p>
  </w:footnote>
  <w:footnote w:id="32">
    <w:p w14:paraId="33D83B7B"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Również w polskim orzecznictwie akcentuje się, że „»Bycie świadomym« używania znaku towarowego oznacza posiadanie przez wnioskodawcę wiedzy o używaniu tego znaku przez uprawnionego. Nie można natomiast rozciągać zakresu omawianej przesłanki ustawowej na możność, czy powinność dowiedzenia się przez wnioskodawcę o używaniu znaku przez uprawnionego” – zob. wyrok NSA z 5 lipca 2007 r., II GSK 98/07.</w:t>
      </w:r>
    </w:p>
  </w:footnote>
  <w:footnote w:id="33">
    <w:p w14:paraId="096E9A14"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Trafnie zauważa NSA w wyroku z 9 stycznia 2025 r., II GSK 1431/21, że dowód tego rodzaju występuje rzadko, przez co zbyt restrykcyjne podejście może nie być uzasadnione.  </w:t>
      </w:r>
    </w:p>
  </w:footnote>
  <w:footnote w:id="34">
    <w:p w14:paraId="7319B42C"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Tak jak określono to w wyrok Sądu UE z 4 października 2018 r., T</w:t>
      </w:r>
      <w:r w:rsidRPr="00953F4F">
        <w:rPr>
          <w:rFonts w:ascii="Times New Roman" w:hAnsi="Times New Roman" w:cs="Times New Roman"/>
        </w:rPr>
        <w:noBreakHyphen/>
        <w:t xml:space="preserve">150/17, </w:t>
      </w:r>
      <w:proofErr w:type="spellStart"/>
      <w:r w:rsidRPr="00953F4F">
        <w:rPr>
          <w:rFonts w:ascii="Times New Roman" w:hAnsi="Times New Roman" w:cs="Times New Roman"/>
          <w:i/>
          <w:iCs/>
        </w:rPr>
        <w:t>Asolo</w:t>
      </w:r>
      <w:proofErr w:type="spellEnd"/>
      <w:r w:rsidRPr="00953F4F">
        <w:rPr>
          <w:rFonts w:ascii="Times New Roman" w:hAnsi="Times New Roman" w:cs="Times New Roman"/>
          <w:i/>
          <w:iCs/>
        </w:rPr>
        <w:t xml:space="preserve"> v EUIPO - Red Bull (FLÜGEL),</w:t>
      </w:r>
      <w:r w:rsidRPr="00953F4F">
        <w:rPr>
          <w:rFonts w:ascii="Times New Roman" w:hAnsi="Times New Roman" w:cs="Times New Roman"/>
        </w:rPr>
        <w:t xml:space="preserve"> ECLI:EU:T:2018:641, pkt 42.</w:t>
      </w:r>
    </w:p>
  </w:footnote>
  <w:footnote w:id="35">
    <w:p w14:paraId="3C22040E"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Por. wyrok Federalnego Trybunału Sprawiedliwości RFN (BGH) z 15 listopada 2015 r., I ZR 50/14.</w:t>
      </w:r>
    </w:p>
  </w:footnote>
  <w:footnote w:id="36">
    <w:p w14:paraId="00026189" w14:textId="77777777" w:rsidR="0066095C" w:rsidRPr="00953F4F" w:rsidRDefault="0066095C" w:rsidP="0066095C">
      <w:pPr>
        <w:pStyle w:val="Tekstprzypisudolnego"/>
        <w:jc w:val="both"/>
        <w:rPr>
          <w:rFonts w:ascii="Times New Roman" w:hAnsi="Times New Roman" w:cs="Times New Roman"/>
        </w:rPr>
      </w:pPr>
      <w:r w:rsidRPr="00953F4F">
        <w:rPr>
          <w:rStyle w:val="Odwoanieprzypisudolnego"/>
          <w:rFonts w:ascii="Times New Roman" w:hAnsi="Times New Roman" w:cs="Times New Roman"/>
        </w:rPr>
        <w:footnoteRef/>
      </w:r>
      <w:r w:rsidRPr="00953F4F">
        <w:rPr>
          <w:rFonts w:ascii="Times New Roman" w:hAnsi="Times New Roman" w:cs="Times New Roman"/>
        </w:rPr>
        <w:t xml:space="preserve"> Rzecznik Generalny V. </w:t>
      </w:r>
      <w:proofErr w:type="spellStart"/>
      <w:r w:rsidRPr="00953F4F">
        <w:rPr>
          <w:rFonts w:ascii="Times New Roman" w:hAnsi="Times New Roman" w:cs="Times New Roman"/>
        </w:rPr>
        <w:t>Trstenjak</w:t>
      </w:r>
      <w:proofErr w:type="spellEnd"/>
      <w:r w:rsidRPr="00953F4F">
        <w:rPr>
          <w:rFonts w:ascii="Times New Roman" w:hAnsi="Times New Roman" w:cs="Times New Roman"/>
        </w:rPr>
        <w:t xml:space="preserve"> wskazuje w opinii z 3 lutego 2011 r., C-482/09, </w:t>
      </w:r>
      <w:proofErr w:type="spellStart"/>
      <w:r w:rsidRPr="00953F4F">
        <w:rPr>
          <w:rFonts w:ascii="Times New Roman" w:hAnsi="Times New Roman" w:cs="Times New Roman"/>
          <w:i/>
          <w:iCs/>
        </w:rPr>
        <w:t>Budějovický</w:t>
      </w:r>
      <w:proofErr w:type="spellEnd"/>
      <w:r w:rsidRPr="00953F4F">
        <w:rPr>
          <w:rFonts w:ascii="Times New Roman" w:hAnsi="Times New Roman" w:cs="Times New Roman"/>
          <w:i/>
          <w:iCs/>
        </w:rPr>
        <w:t xml:space="preserve"> </w:t>
      </w:r>
      <w:proofErr w:type="spellStart"/>
      <w:r w:rsidRPr="00953F4F">
        <w:rPr>
          <w:rFonts w:ascii="Times New Roman" w:hAnsi="Times New Roman" w:cs="Times New Roman"/>
          <w:i/>
          <w:iCs/>
        </w:rPr>
        <w:t>Budvar</w:t>
      </w:r>
      <w:proofErr w:type="spellEnd"/>
      <w:r w:rsidRPr="00953F4F">
        <w:rPr>
          <w:rFonts w:ascii="Times New Roman" w:hAnsi="Times New Roman" w:cs="Times New Roman"/>
        </w:rPr>
        <w:t>, ECLI:EU:C:2011:46, pkt 82, że „wymaganie faktycznej wiedzy odpowiada szczególnej randze pewności prawnej, która znajduje wyraz w regulacji dotyczącej utraty roszczeń w postaci ustalenia ściśle określonych ram czasowych”.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A27445"/>
    <w:multiLevelType w:val="hybridMultilevel"/>
    <w:tmpl w:val="86141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5C"/>
    <w:rsid w:val="00170712"/>
    <w:rsid w:val="002912D4"/>
    <w:rsid w:val="002A7A54"/>
    <w:rsid w:val="00521E1F"/>
    <w:rsid w:val="0066095C"/>
    <w:rsid w:val="007C0A17"/>
    <w:rsid w:val="00901577"/>
    <w:rsid w:val="009312AD"/>
    <w:rsid w:val="009F1900"/>
    <w:rsid w:val="00A14CA5"/>
    <w:rsid w:val="00B01533"/>
    <w:rsid w:val="00B42CF7"/>
    <w:rsid w:val="00BF6D7D"/>
    <w:rsid w:val="00D525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E57E"/>
  <w15:chartTrackingRefBased/>
  <w15:docId w15:val="{E865D559-DC93-456B-AF8F-EF82C194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6095C"/>
    <w:pPr>
      <w:spacing w:line="278" w:lineRule="auto"/>
    </w:pPr>
    <w:rPr>
      <w:kern w:val="2"/>
      <w:sz w:val="24"/>
      <w:szCs w:val="24"/>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095C"/>
    <w:pPr>
      <w:ind w:left="720"/>
      <w:contextualSpacing/>
    </w:pPr>
  </w:style>
  <w:style w:type="character" w:styleId="Hipercze">
    <w:name w:val="Hyperlink"/>
    <w:basedOn w:val="Domylnaczcionkaakapitu"/>
    <w:uiPriority w:val="99"/>
    <w:unhideWhenUsed/>
    <w:rsid w:val="0066095C"/>
    <w:rPr>
      <w:color w:val="0563C1" w:themeColor="hyperlink"/>
      <w:u w:val="single"/>
    </w:rPr>
  </w:style>
  <w:style w:type="paragraph" w:styleId="Stopka">
    <w:name w:val="footer"/>
    <w:basedOn w:val="Normalny"/>
    <w:link w:val="StopkaZnak"/>
    <w:uiPriority w:val="99"/>
    <w:unhideWhenUsed/>
    <w:rsid w:val="006609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095C"/>
    <w:rPr>
      <w:kern w:val="2"/>
      <w:sz w:val="24"/>
      <w:szCs w:val="24"/>
      <w14:ligatures w14:val="standardContextual"/>
    </w:rPr>
  </w:style>
  <w:style w:type="paragraph" w:styleId="Tekstprzypisudolnego">
    <w:name w:val="footnote text"/>
    <w:basedOn w:val="Normalny"/>
    <w:link w:val="TekstprzypisudolnegoZnak"/>
    <w:uiPriority w:val="99"/>
    <w:unhideWhenUsed/>
    <w:rsid w:val="0066095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6095C"/>
    <w:rPr>
      <w:kern w:val="2"/>
      <w:sz w:val="20"/>
      <w:szCs w:val="20"/>
      <w14:ligatures w14:val="standardContextual"/>
    </w:rPr>
  </w:style>
  <w:style w:type="character" w:styleId="Odwoanieprzypisudolnego">
    <w:name w:val="footnote reference"/>
    <w:basedOn w:val="Domylnaczcionkaakapitu"/>
    <w:uiPriority w:val="99"/>
    <w:semiHidden/>
    <w:unhideWhenUsed/>
    <w:rsid w:val="0066095C"/>
    <w:rPr>
      <w:vertAlign w:val="superscript"/>
    </w:rPr>
  </w:style>
  <w:style w:type="character" w:styleId="Nierozpoznanawzmianka">
    <w:name w:val="Unresolved Mention"/>
    <w:basedOn w:val="Domylnaczcionkaakapitu"/>
    <w:uiPriority w:val="99"/>
    <w:semiHidden/>
    <w:unhideWhenUsed/>
    <w:rsid w:val="00A14CA5"/>
    <w:rPr>
      <w:color w:val="605E5C"/>
      <w:shd w:val="clear" w:color="auto" w:fill="E1DFDD"/>
    </w:rPr>
  </w:style>
  <w:style w:type="character" w:styleId="UyteHipercze">
    <w:name w:val="FollowedHyperlink"/>
    <w:basedOn w:val="Domylnaczcionkaakapitu"/>
    <w:uiPriority w:val="99"/>
    <w:semiHidden/>
    <w:unhideWhenUsed/>
    <w:rsid w:val="00D52535"/>
    <w:rPr>
      <w:color w:val="954F72" w:themeColor="followedHyperlink"/>
      <w:u w:val="single"/>
    </w:rPr>
  </w:style>
  <w:style w:type="paragraph" w:styleId="NormalnyWeb">
    <w:name w:val="Normal (Web)"/>
    <w:basedOn w:val="Normalny"/>
    <w:uiPriority w:val="99"/>
    <w:semiHidden/>
    <w:unhideWhenUsed/>
    <w:rsid w:val="00BF6D7D"/>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36856">
      <w:bodyDiv w:val="1"/>
      <w:marLeft w:val="0"/>
      <w:marRight w:val="0"/>
      <w:marTop w:val="0"/>
      <w:marBottom w:val="0"/>
      <w:divBdr>
        <w:top w:val="none" w:sz="0" w:space="0" w:color="auto"/>
        <w:left w:val="none" w:sz="0" w:space="0" w:color="auto"/>
        <w:bottom w:val="none" w:sz="0" w:space="0" w:color="auto"/>
        <w:right w:val="none" w:sz="0" w:space="0" w:color="auto"/>
      </w:divBdr>
    </w:div>
    <w:div w:id="48648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lines.euipo.europa.eu/2303097/2263510/wytyczne-dot--znakow-towarowych/4-5-2-przyzwolenie" TargetMode="External"/><Relationship Id="rId3" Type="http://schemas.openxmlformats.org/officeDocument/2006/relationships/settings" Target="settings.xml"/><Relationship Id="rId7" Type="http://schemas.openxmlformats.org/officeDocument/2006/relationships/hyperlink" Target="https://guidelines.euipo.europa.eu/1916976/1866062/wytyczne-dot--znakow-towarowych/4-5-3-przyzwol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guidelines.euipo.europa.eu/2303097/2263510/wytyczne-dot--znakow-towarowych/4-5-2-przyzwolenie" TargetMode="External"/><Relationship Id="rId2" Type="http://schemas.openxmlformats.org/officeDocument/2006/relationships/hyperlink" Target="https://guidelines.euipo.europa.eu/1916976/1866062/wytyczne-dot--znakow-towarowych/4-5-3-przyzwolenie" TargetMode="External"/><Relationship Id="rId1" Type="http://schemas.openxmlformats.org/officeDocument/2006/relationships/hyperlink" Target="https://curia.europa.eu/jcms/jcms/Jo2_7040/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4131</Words>
  <Characters>24790</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Paweł</cp:lastModifiedBy>
  <cp:revision>3</cp:revision>
  <dcterms:created xsi:type="dcterms:W3CDTF">2025-10-03T07:25:00Z</dcterms:created>
  <dcterms:modified xsi:type="dcterms:W3CDTF">2025-10-16T09:33:00Z</dcterms:modified>
</cp:coreProperties>
</file>